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2AF3E">
      <w:pPr>
        <w:keepNext/>
        <w:keepLines/>
        <w:pageBreakBefore w:val="0"/>
        <w:widowControl w:val="0"/>
        <w:kinsoku/>
        <w:wordWrap/>
        <w:overflowPunct/>
        <w:topLinePunct w:val="0"/>
        <w:autoSpaceDE/>
        <w:autoSpaceDN/>
        <w:bidi w:val="0"/>
        <w:adjustRightInd/>
        <w:snapToGrid/>
        <w:spacing w:before="0" w:after="0" w:line="360" w:lineRule="auto"/>
        <w:ind w:left="0" w:leftChars="0"/>
        <w:jc w:val="center"/>
        <w:textAlignment w:val="auto"/>
        <w:outlineLvl w:val="9"/>
        <w:rPr>
          <w:rFonts w:hint="eastAsia" w:asciiTheme="minorEastAsia" w:hAnsiTheme="minorEastAsia" w:eastAsiaTheme="minorEastAsia" w:cstheme="minorEastAsia"/>
          <w:b/>
          <w:bCs/>
          <w:sz w:val="52"/>
          <w:szCs w:val="52"/>
          <w:lang w:val="en-US" w:eastAsia="zh-CN"/>
        </w:rPr>
      </w:pPr>
    </w:p>
    <w:p w14:paraId="50F54847">
      <w:pPr>
        <w:keepNext/>
        <w:keepLines/>
        <w:pageBreakBefore w:val="0"/>
        <w:widowControl w:val="0"/>
        <w:kinsoku/>
        <w:wordWrap/>
        <w:overflowPunct/>
        <w:topLinePunct w:val="0"/>
        <w:autoSpaceDE/>
        <w:autoSpaceDN/>
        <w:bidi w:val="0"/>
        <w:adjustRightInd/>
        <w:snapToGrid/>
        <w:spacing w:before="0" w:after="0" w:line="360" w:lineRule="auto"/>
        <w:ind w:left="0" w:leftChars="0"/>
        <w:jc w:val="center"/>
        <w:textAlignment w:val="auto"/>
        <w:outlineLvl w:val="9"/>
        <w:rPr>
          <w:rFonts w:hint="eastAsia" w:asciiTheme="minorEastAsia" w:hAnsiTheme="minorEastAsia" w:eastAsiaTheme="minorEastAsia" w:cstheme="minorEastAsia"/>
          <w:b/>
          <w:bCs/>
          <w:sz w:val="52"/>
          <w:szCs w:val="52"/>
          <w:lang w:val="en-US" w:eastAsia="zh-CN"/>
        </w:rPr>
      </w:pPr>
    </w:p>
    <w:p w14:paraId="52854B24">
      <w:pPr>
        <w:keepNext/>
        <w:keepLines/>
        <w:pageBreakBefore w:val="0"/>
        <w:widowControl w:val="0"/>
        <w:kinsoku/>
        <w:wordWrap/>
        <w:overflowPunct/>
        <w:topLinePunct w:val="0"/>
        <w:autoSpaceDE/>
        <w:autoSpaceDN/>
        <w:bidi w:val="0"/>
        <w:adjustRightInd/>
        <w:snapToGrid/>
        <w:spacing w:before="0" w:after="0" w:line="360" w:lineRule="auto"/>
        <w:ind w:left="0" w:leftChars="0"/>
        <w:jc w:val="center"/>
        <w:textAlignment w:val="auto"/>
        <w:outlineLvl w:val="9"/>
        <w:rPr>
          <w:rFonts w:hint="eastAsia" w:asciiTheme="minorEastAsia" w:hAnsiTheme="minorEastAsia" w:eastAsiaTheme="minorEastAsia" w:cstheme="minorEastAsia"/>
          <w:b/>
          <w:bCs/>
          <w:sz w:val="52"/>
          <w:szCs w:val="52"/>
          <w:lang w:val="en-US" w:eastAsia="zh-CN"/>
        </w:rPr>
      </w:pPr>
      <w:r>
        <w:rPr>
          <w:rFonts w:hint="eastAsia" w:asciiTheme="minorEastAsia" w:hAnsiTheme="minorEastAsia" w:eastAsiaTheme="minorEastAsia" w:cstheme="minorEastAsia"/>
          <w:b/>
          <w:bCs/>
          <w:sz w:val="52"/>
          <w:szCs w:val="52"/>
          <w:lang w:val="en-US" w:eastAsia="zh-CN"/>
        </w:rPr>
        <w:t>开州区河堰镇双龙洞地下水</w:t>
      </w:r>
    </w:p>
    <w:p w14:paraId="59A17E29">
      <w:pPr>
        <w:keepNext/>
        <w:keepLines/>
        <w:pageBreakBefore w:val="0"/>
        <w:widowControl w:val="0"/>
        <w:kinsoku/>
        <w:wordWrap/>
        <w:overflowPunct/>
        <w:topLinePunct w:val="0"/>
        <w:autoSpaceDE/>
        <w:autoSpaceDN/>
        <w:bidi w:val="0"/>
        <w:adjustRightInd/>
        <w:snapToGrid/>
        <w:spacing w:before="0" w:after="0" w:line="360" w:lineRule="auto"/>
        <w:ind w:left="0" w:leftChars="0"/>
        <w:jc w:val="center"/>
        <w:textAlignment w:val="auto"/>
        <w:outlineLvl w:val="9"/>
        <w:rPr>
          <w:rFonts w:hint="eastAsia" w:asciiTheme="minorEastAsia" w:hAnsiTheme="minorEastAsia" w:eastAsiaTheme="minorEastAsia" w:cstheme="minorEastAsia"/>
          <w:b/>
          <w:bCs/>
          <w:sz w:val="52"/>
          <w:szCs w:val="52"/>
          <w:lang w:val="en-US" w:eastAsia="zh-CN"/>
        </w:rPr>
      </w:pPr>
      <w:r>
        <w:rPr>
          <w:rFonts w:hint="eastAsia" w:asciiTheme="minorEastAsia" w:hAnsiTheme="minorEastAsia" w:eastAsiaTheme="minorEastAsia" w:cstheme="minorEastAsia"/>
          <w:b/>
          <w:bCs/>
          <w:sz w:val="52"/>
          <w:szCs w:val="52"/>
          <w:lang w:val="en-US" w:eastAsia="zh-CN"/>
        </w:rPr>
        <w:t>河堰供水站水源地</w:t>
      </w:r>
    </w:p>
    <w:p w14:paraId="1606AB56">
      <w:pPr>
        <w:keepNext/>
        <w:keepLines/>
        <w:pageBreakBefore w:val="0"/>
        <w:widowControl w:val="0"/>
        <w:kinsoku/>
        <w:wordWrap/>
        <w:overflowPunct/>
        <w:topLinePunct w:val="0"/>
        <w:autoSpaceDE/>
        <w:autoSpaceDN/>
        <w:bidi w:val="0"/>
        <w:adjustRightInd/>
        <w:snapToGrid/>
        <w:spacing w:before="0" w:after="0" w:line="360" w:lineRule="auto"/>
        <w:ind w:left="0" w:leftChars="0"/>
        <w:jc w:val="center"/>
        <w:textAlignment w:val="auto"/>
        <w:outlineLvl w:val="9"/>
        <w:rPr>
          <w:rFonts w:hint="eastAsia" w:asciiTheme="minorEastAsia" w:hAnsiTheme="minorEastAsia" w:eastAsiaTheme="minorEastAsia" w:cstheme="minorEastAsia"/>
          <w:b/>
          <w:bCs/>
          <w:sz w:val="52"/>
          <w:szCs w:val="52"/>
        </w:rPr>
      </w:pPr>
      <w:r>
        <w:rPr>
          <w:rFonts w:hint="eastAsia" w:asciiTheme="minorEastAsia" w:hAnsiTheme="minorEastAsia" w:eastAsiaTheme="minorEastAsia" w:cstheme="minorEastAsia"/>
          <w:b/>
          <w:bCs/>
          <w:sz w:val="52"/>
          <w:szCs w:val="52"/>
        </w:rPr>
        <w:t>突发环境事件应急预案</w:t>
      </w:r>
    </w:p>
    <w:p w14:paraId="231CDBD2">
      <w:pPr>
        <w:pStyle w:val="7"/>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sz w:val="28"/>
          <w:szCs w:val="28"/>
        </w:rPr>
      </w:pPr>
    </w:p>
    <w:p w14:paraId="244AB6C8">
      <w:pPr>
        <w:pStyle w:val="7"/>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sz w:val="28"/>
          <w:szCs w:val="28"/>
        </w:rPr>
      </w:pPr>
    </w:p>
    <w:p w14:paraId="671CE366">
      <w:pPr>
        <w:pStyle w:val="7"/>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sz w:val="28"/>
          <w:szCs w:val="28"/>
        </w:rPr>
      </w:pPr>
    </w:p>
    <w:p w14:paraId="38ADE974">
      <w:pPr>
        <w:pStyle w:val="7"/>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sz w:val="28"/>
          <w:szCs w:val="28"/>
        </w:rPr>
      </w:pPr>
    </w:p>
    <w:p w14:paraId="06B3C09F">
      <w:pPr>
        <w:pStyle w:val="7"/>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sz w:val="28"/>
          <w:szCs w:val="28"/>
        </w:rPr>
      </w:pPr>
    </w:p>
    <w:p w14:paraId="2B8A2367">
      <w:pPr>
        <w:pStyle w:val="7"/>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 xml:space="preserve">                预案编号：</w:t>
      </w:r>
      <w:r>
        <w:rPr>
          <w:rFonts w:hint="eastAsia" w:asciiTheme="minorEastAsia" w:hAnsiTheme="minorEastAsia" w:eastAsiaTheme="minorEastAsia" w:cstheme="minorEastAsia"/>
          <w:sz w:val="28"/>
          <w:szCs w:val="28"/>
          <w:lang w:val="en-US" w:eastAsia="zh-CN"/>
        </w:rPr>
        <w:t xml:space="preserve">HYYYSYD 2026-1 </w:t>
      </w:r>
    </w:p>
    <w:p w14:paraId="1A66CD0A">
      <w:pPr>
        <w:pStyle w:val="7"/>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版 本 号：</w:t>
      </w:r>
      <w:r>
        <w:rPr>
          <w:rFonts w:hint="eastAsia" w:asciiTheme="minorEastAsia" w:hAnsiTheme="minorEastAsia" w:eastAsiaTheme="minorEastAsia" w:cstheme="minorEastAsia"/>
          <w:sz w:val="28"/>
          <w:szCs w:val="28"/>
          <w:lang w:val="en-US" w:eastAsia="zh-CN"/>
        </w:rPr>
        <w:t>2026-1</w:t>
      </w:r>
      <w:r>
        <w:rPr>
          <w:rFonts w:hint="eastAsia" w:asciiTheme="minorEastAsia" w:hAnsiTheme="minorEastAsia" w:eastAsiaTheme="minorEastAsia" w:cstheme="minorEastAsia"/>
          <w:sz w:val="28"/>
          <w:szCs w:val="28"/>
        </w:rPr>
        <w:t xml:space="preserve">  </w:t>
      </w:r>
    </w:p>
    <w:p w14:paraId="57DC8102">
      <w:pPr>
        <w:pStyle w:val="7"/>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 xml:space="preserve"> 颁布日期：</w:t>
      </w:r>
      <w:r>
        <w:rPr>
          <w:rFonts w:hint="eastAsia" w:asciiTheme="minorEastAsia" w:hAnsiTheme="minorEastAsia" w:eastAsiaTheme="minorEastAsia" w:cstheme="minorEastAsia"/>
          <w:sz w:val="28"/>
          <w:szCs w:val="28"/>
          <w:lang w:val="en-US" w:eastAsia="zh-CN"/>
        </w:rPr>
        <w:t xml:space="preserve">2026年7月  </w:t>
      </w:r>
      <w:r>
        <w:rPr>
          <w:rFonts w:hint="eastAsia" w:asciiTheme="minorEastAsia" w:hAnsiTheme="minorEastAsia" w:eastAsiaTheme="minorEastAsia" w:cstheme="minorEastAsia"/>
          <w:sz w:val="28"/>
          <w:szCs w:val="28"/>
        </w:rPr>
        <w:t xml:space="preserve">  </w:t>
      </w:r>
    </w:p>
    <w:p w14:paraId="320A05B7">
      <w:pPr>
        <w:pStyle w:val="7"/>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sz w:val="28"/>
          <w:szCs w:val="28"/>
        </w:rPr>
      </w:pPr>
    </w:p>
    <w:p w14:paraId="0F353913">
      <w:pPr>
        <w:pStyle w:val="7"/>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sz w:val="28"/>
          <w:szCs w:val="28"/>
        </w:rPr>
      </w:pPr>
    </w:p>
    <w:p w14:paraId="0181C76F">
      <w:pPr>
        <w:pStyle w:val="7"/>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sz w:val="28"/>
          <w:szCs w:val="28"/>
        </w:rPr>
      </w:pPr>
    </w:p>
    <w:p w14:paraId="4E805E2F">
      <w:pPr>
        <w:pStyle w:val="7"/>
        <w:pageBreakBefore w:val="0"/>
        <w:widowControl w:val="0"/>
        <w:kinsoku/>
        <w:wordWrap/>
        <w:overflowPunct/>
        <w:topLinePunct w:val="0"/>
        <w:autoSpaceDE/>
        <w:autoSpaceDN/>
        <w:bidi w:val="0"/>
        <w:adjustRightInd/>
        <w:snapToGrid/>
        <w:spacing w:line="360" w:lineRule="auto"/>
        <w:ind w:left="0" w:leftChars="0"/>
        <w:jc w:val="center"/>
        <w:textAlignment w:val="auto"/>
        <w:outlineLvl w:val="9"/>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eastAsia="zh-CN"/>
        </w:rPr>
        <w:t>重庆市开州区</w:t>
      </w:r>
      <w:r>
        <w:rPr>
          <w:rFonts w:hint="eastAsia" w:asciiTheme="minorEastAsia" w:hAnsiTheme="minorEastAsia" w:eastAsiaTheme="minorEastAsia" w:cstheme="minorEastAsia"/>
          <w:b/>
          <w:bCs/>
          <w:sz w:val="32"/>
          <w:szCs w:val="32"/>
          <w:lang w:val="en-US" w:eastAsia="zh-CN"/>
        </w:rPr>
        <w:t>河堰镇人民政府</w:t>
      </w:r>
    </w:p>
    <w:p w14:paraId="7120B30E">
      <w:pPr>
        <w:pStyle w:val="7"/>
        <w:pageBreakBefore w:val="0"/>
        <w:widowControl w:val="0"/>
        <w:kinsoku/>
        <w:wordWrap/>
        <w:overflowPunct/>
        <w:topLinePunct w:val="0"/>
        <w:autoSpaceDE/>
        <w:autoSpaceDN/>
        <w:bidi w:val="0"/>
        <w:adjustRightInd/>
        <w:snapToGrid/>
        <w:spacing w:line="360" w:lineRule="auto"/>
        <w:ind w:left="0" w:leftChars="0"/>
        <w:jc w:val="center"/>
        <w:textAlignment w:val="auto"/>
        <w:outlineLvl w:val="9"/>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lang w:val="en-US" w:eastAsia="zh-CN"/>
        </w:rPr>
        <w:t>2026</w:t>
      </w:r>
      <w:r>
        <w:rPr>
          <w:rFonts w:hint="eastAsia" w:asciiTheme="minorEastAsia" w:hAnsiTheme="minorEastAsia" w:eastAsiaTheme="minorEastAsia" w:cstheme="minorEastAsia"/>
          <w:b/>
          <w:bCs/>
          <w:sz w:val="32"/>
          <w:szCs w:val="32"/>
        </w:rPr>
        <w:t>年</w:t>
      </w:r>
      <w:r>
        <w:rPr>
          <w:rFonts w:hint="eastAsia" w:asciiTheme="minorEastAsia" w:hAnsiTheme="minorEastAsia" w:eastAsiaTheme="minorEastAsia" w:cstheme="minorEastAsia"/>
          <w:b/>
          <w:bCs/>
          <w:sz w:val="32"/>
          <w:szCs w:val="32"/>
          <w:lang w:val="en-US" w:eastAsia="zh-CN"/>
        </w:rPr>
        <w:t>7</w:t>
      </w:r>
      <w:r>
        <w:rPr>
          <w:rFonts w:hint="eastAsia" w:asciiTheme="minorEastAsia" w:hAnsiTheme="minorEastAsia" w:eastAsiaTheme="minorEastAsia" w:cstheme="minorEastAsia"/>
          <w:b/>
          <w:bCs/>
          <w:sz w:val="32"/>
          <w:szCs w:val="32"/>
        </w:rPr>
        <w:t>月</w:t>
      </w:r>
    </w:p>
    <w:p w14:paraId="6D0651AF">
      <w:pP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br w:type="page"/>
      </w:r>
    </w:p>
    <w:p w14:paraId="7DD5BFA7">
      <w:pP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br w:type="page"/>
      </w:r>
    </w:p>
    <w:sdt>
      <w:sdtPr>
        <w:rPr>
          <w:rFonts w:ascii="宋体" w:hAnsi="宋体" w:eastAsia="宋体" w:cs="Times New Roman"/>
          <w:kern w:val="2"/>
          <w:sz w:val="21"/>
          <w:szCs w:val="21"/>
          <w:lang w:val="en-US" w:eastAsia="zh-CN" w:bidi="ar-SA"/>
        </w:rPr>
        <w:id w:val="147471964"/>
        <w15:color w:val="DBDBDB"/>
        <w:docPartObj>
          <w:docPartGallery w:val="Table of Contents"/>
          <w:docPartUnique/>
        </w:docPartObj>
      </w:sdtPr>
      <w:sdtEndPr>
        <w:rPr>
          <w:rFonts w:hint="eastAsia" w:asciiTheme="minorEastAsia" w:hAnsiTheme="minorEastAsia" w:eastAsiaTheme="minorEastAsia" w:cstheme="minorEastAsia"/>
          <w:b/>
          <w:bCs/>
          <w:kern w:val="2"/>
          <w:sz w:val="32"/>
          <w:szCs w:val="32"/>
          <w:lang w:val="zh-CN" w:eastAsia="zh-CN" w:bidi="zh-CN"/>
        </w:rPr>
      </w:sdtEndPr>
      <w:sdtContent>
        <w:p w14:paraId="466BD759">
          <w:pPr>
            <w:spacing w:before="0" w:beforeLines="0" w:after="0" w:afterLines="0" w:line="240" w:lineRule="auto"/>
            <w:ind w:left="0" w:leftChars="0" w:right="0" w:rightChars="0" w:firstLine="0" w:firstLineChars="0"/>
            <w:jc w:val="center"/>
          </w:pPr>
          <w:r>
            <w:rPr>
              <w:rFonts w:ascii="宋体" w:hAnsi="宋体" w:eastAsia="宋体"/>
              <w:sz w:val="21"/>
            </w:rPr>
            <w:t>目录</w:t>
          </w:r>
        </w:p>
        <w:p w14:paraId="79476A42">
          <w:pPr>
            <w:pStyle w:val="11"/>
            <w:tabs>
              <w:tab w:val="right" w:leader="dot" w:pos="9026"/>
            </w:tabs>
          </w:pPr>
          <w:r>
            <w:rPr>
              <w:rFonts w:hint="eastAsia" w:asciiTheme="minorEastAsia" w:hAnsiTheme="minorEastAsia" w:eastAsiaTheme="minorEastAsia" w:cstheme="minorEastAsia"/>
              <w:b/>
              <w:bCs/>
              <w:sz w:val="32"/>
              <w:szCs w:val="32"/>
            </w:rPr>
            <w:fldChar w:fldCharType="begin"/>
          </w:r>
          <w:r>
            <w:rPr>
              <w:rFonts w:hint="eastAsia" w:asciiTheme="minorEastAsia" w:hAnsiTheme="minorEastAsia" w:eastAsiaTheme="minorEastAsia" w:cstheme="minorEastAsia"/>
              <w:b/>
              <w:bCs/>
              <w:sz w:val="32"/>
              <w:szCs w:val="32"/>
            </w:rPr>
            <w:instrText xml:space="preserve">TOC \o "1-2" \h \u </w:instrText>
          </w:r>
          <w:r>
            <w:rPr>
              <w:rFonts w:hint="eastAsia" w:asciiTheme="minorEastAsia" w:hAnsiTheme="minorEastAsia" w:eastAsiaTheme="minorEastAsia" w:cstheme="minorEastAsia"/>
              <w:b/>
              <w:bCs/>
              <w:sz w:val="32"/>
              <w:szCs w:val="32"/>
            </w:rPr>
            <w:fldChar w:fldCharType="separate"/>
          </w: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_Toc29996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32"/>
              <w:lang w:val="en-US" w:eastAsia="zh-CN"/>
            </w:rPr>
            <w:t>1总则</w:t>
          </w:r>
          <w:r>
            <w:tab/>
          </w:r>
          <w:r>
            <w:fldChar w:fldCharType="begin"/>
          </w:r>
          <w:r>
            <w:instrText xml:space="preserve"> PAGEREF _Toc29996 \h </w:instrText>
          </w:r>
          <w:r>
            <w:fldChar w:fldCharType="separate"/>
          </w:r>
          <w:r>
            <w:t>1</w:t>
          </w:r>
          <w:r>
            <w:fldChar w:fldCharType="end"/>
          </w:r>
          <w:r>
            <w:rPr>
              <w:rFonts w:hint="eastAsia" w:asciiTheme="minorEastAsia" w:hAnsiTheme="minorEastAsia" w:eastAsiaTheme="minorEastAsia" w:cstheme="minorEastAsia"/>
              <w:bCs/>
              <w:szCs w:val="32"/>
            </w:rPr>
            <w:fldChar w:fldCharType="end"/>
          </w:r>
        </w:p>
        <w:p w14:paraId="570FCEC8">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_Toc30123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rPr>
            <w:t>1.1</w:t>
          </w:r>
          <w:r>
            <w:rPr>
              <w:rFonts w:hint="eastAsia" w:ascii="宋体" w:hAnsi="宋体" w:cs="宋体"/>
              <w:bCs/>
              <w:szCs w:val="28"/>
              <w:lang w:val="en-US" w:eastAsia="zh-CN"/>
            </w:rPr>
            <w:t xml:space="preserve"> </w:t>
          </w:r>
          <w:r>
            <w:rPr>
              <w:rFonts w:hint="eastAsia" w:ascii="宋体" w:hAnsi="宋体" w:eastAsia="宋体" w:cs="宋体"/>
              <w:bCs/>
              <w:szCs w:val="28"/>
            </w:rPr>
            <w:t>编制目的</w:t>
          </w:r>
          <w:r>
            <w:tab/>
          </w:r>
          <w:r>
            <w:fldChar w:fldCharType="begin"/>
          </w:r>
          <w:r>
            <w:instrText xml:space="preserve"> PAGEREF _Toc30123 \h </w:instrText>
          </w:r>
          <w:r>
            <w:fldChar w:fldCharType="separate"/>
          </w:r>
          <w:r>
            <w:t>1</w:t>
          </w:r>
          <w:r>
            <w:fldChar w:fldCharType="end"/>
          </w:r>
          <w:r>
            <w:rPr>
              <w:rFonts w:hint="eastAsia" w:asciiTheme="minorEastAsia" w:hAnsiTheme="minorEastAsia" w:eastAsiaTheme="minorEastAsia" w:cstheme="minorEastAsia"/>
              <w:bCs/>
              <w:szCs w:val="32"/>
            </w:rPr>
            <w:fldChar w:fldCharType="end"/>
          </w:r>
        </w:p>
        <w:p w14:paraId="6D6E0A1E">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_Toc12859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rPr>
            <w:t>1.2</w:t>
          </w:r>
          <w:r>
            <w:rPr>
              <w:rFonts w:hint="eastAsia" w:ascii="宋体" w:hAnsi="宋体" w:eastAsia="宋体" w:cs="宋体"/>
              <w:bCs/>
              <w:szCs w:val="28"/>
              <w:lang w:val="en-US" w:eastAsia="zh-CN"/>
            </w:rPr>
            <w:t xml:space="preserve"> </w:t>
          </w:r>
          <w:r>
            <w:rPr>
              <w:rFonts w:hint="eastAsia" w:ascii="宋体" w:hAnsi="宋体" w:eastAsia="宋体" w:cs="宋体"/>
              <w:bCs/>
              <w:szCs w:val="28"/>
            </w:rPr>
            <w:t>适用范围</w:t>
          </w:r>
          <w:r>
            <w:tab/>
          </w:r>
          <w:r>
            <w:fldChar w:fldCharType="begin"/>
          </w:r>
          <w:r>
            <w:instrText xml:space="preserve"> PAGEREF _Toc12859 \h </w:instrText>
          </w:r>
          <w:r>
            <w:fldChar w:fldCharType="separate"/>
          </w:r>
          <w:r>
            <w:t>1</w:t>
          </w:r>
          <w:r>
            <w:fldChar w:fldCharType="end"/>
          </w:r>
          <w:r>
            <w:rPr>
              <w:rFonts w:hint="eastAsia" w:asciiTheme="minorEastAsia" w:hAnsiTheme="minorEastAsia" w:eastAsiaTheme="minorEastAsia" w:cstheme="minorEastAsia"/>
              <w:bCs/>
              <w:szCs w:val="32"/>
            </w:rPr>
            <w:fldChar w:fldCharType="end"/>
          </w:r>
        </w:p>
        <w:p w14:paraId="5EEE0EC1">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_Toc23957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rPr>
            <w:t>1.3</w:t>
          </w:r>
          <w:r>
            <w:rPr>
              <w:rFonts w:hint="eastAsia" w:ascii="宋体" w:hAnsi="宋体" w:eastAsia="宋体" w:cs="宋体"/>
              <w:bCs/>
              <w:szCs w:val="28"/>
              <w:lang w:val="en-US" w:eastAsia="zh-CN"/>
            </w:rPr>
            <w:t xml:space="preserve"> </w:t>
          </w:r>
          <w:r>
            <w:rPr>
              <w:rFonts w:hint="eastAsia" w:ascii="宋体" w:hAnsi="宋体" w:eastAsia="宋体" w:cs="宋体"/>
              <w:bCs/>
              <w:szCs w:val="28"/>
            </w:rPr>
            <w:t>编制依据</w:t>
          </w:r>
          <w:r>
            <w:tab/>
          </w:r>
          <w:r>
            <w:fldChar w:fldCharType="begin"/>
          </w:r>
          <w:r>
            <w:instrText xml:space="preserve"> PAGEREF _Toc23957 \h </w:instrText>
          </w:r>
          <w:r>
            <w:fldChar w:fldCharType="separate"/>
          </w:r>
          <w:r>
            <w:t>1</w:t>
          </w:r>
          <w:r>
            <w:fldChar w:fldCharType="end"/>
          </w:r>
          <w:r>
            <w:rPr>
              <w:rFonts w:hint="eastAsia" w:asciiTheme="minorEastAsia" w:hAnsiTheme="minorEastAsia" w:eastAsiaTheme="minorEastAsia" w:cstheme="minorEastAsia"/>
              <w:bCs/>
              <w:szCs w:val="32"/>
            </w:rPr>
            <w:fldChar w:fldCharType="end"/>
          </w:r>
        </w:p>
        <w:p w14:paraId="0133F331">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_Toc9948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rPr>
            <w:t>1.</w:t>
          </w:r>
          <w:r>
            <w:rPr>
              <w:rFonts w:hint="eastAsia" w:ascii="宋体" w:hAnsi="宋体" w:eastAsia="宋体" w:cs="宋体"/>
              <w:bCs/>
              <w:szCs w:val="28"/>
              <w:lang w:val="en-US" w:eastAsia="zh-CN"/>
            </w:rPr>
            <w:t xml:space="preserve">4 </w:t>
          </w:r>
          <w:r>
            <w:rPr>
              <w:rFonts w:hint="eastAsia" w:ascii="宋体" w:hAnsi="宋体" w:eastAsia="宋体" w:cs="宋体"/>
              <w:bCs/>
              <w:szCs w:val="28"/>
            </w:rPr>
            <w:t>工作原则</w:t>
          </w:r>
          <w:r>
            <w:tab/>
          </w:r>
          <w:r>
            <w:fldChar w:fldCharType="begin"/>
          </w:r>
          <w:r>
            <w:instrText xml:space="preserve"> PAGEREF _Toc9948 \h </w:instrText>
          </w:r>
          <w:r>
            <w:fldChar w:fldCharType="separate"/>
          </w:r>
          <w:r>
            <w:t>3</w:t>
          </w:r>
          <w:r>
            <w:fldChar w:fldCharType="end"/>
          </w:r>
          <w:r>
            <w:rPr>
              <w:rFonts w:hint="eastAsia" w:asciiTheme="minorEastAsia" w:hAnsiTheme="minorEastAsia" w:eastAsiaTheme="minorEastAsia" w:cstheme="minorEastAsia"/>
              <w:bCs/>
              <w:szCs w:val="32"/>
            </w:rPr>
            <w:fldChar w:fldCharType="end"/>
          </w:r>
        </w:p>
        <w:p w14:paraId="5A9F6868">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_Toc23990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lang w:val="zh-CN"/>
            </w:rPr>
            <w:t>1.</w:t>
          </w:r>
          <w:r>
            <w:rPr>
              <w:rFonts w:hint="eastAsia" w:ascii="宋体" w:hAnsi="宋体" w:eastAsia="宋体" w:cs="宋体"/>
              <w:bCs/>
              <w:szCs w:val="28"/>
              <w:lang w:val="en-US" w:eastAsia="zh-CN"/>
            </w:rPr>
            <w:t xml:space="preserve">5 </w:t>
          </w:r>
          <w:r>
            <w:rPr>
              <w:rFonts w:hint="eastAsia" w:ascii="宋体" w:hAnsi="宋体" w:eastAsia="宋体" w:cs="宋体"/>
              <w:bCs/>
              <w:szCs w:val="28"/>
              <w:lang w:val="zh-CN"/>
            </w:rPr>
            <w:t>应急预案体系</w:t>
          </w:r>
          <w:r>
            <w:tab/>
          </w:r>
          <w:r>
            <w:fldChar w:fldCharType="begin"/>
          </w:r>
          <w:r>
            <w:instrText xml:space="preserve"> PAGEREF _Toc23990 \h </w:instrText>
          </w:r>
          <w:r>
            <w:fldChar w:fldCharType="separate"/>
          </w:r>
          <w:r>
            <w:t>4</w:t>
          </w:r>
          <w:r>
            <w:fldChar w:fldCharType="end"/>
          </w:r>
          <w:r>
            <w:rPr>
              <w:rFonts w:hint="eastAsia" w:asciiTheme="minorEastAsia" w:hAnsiTheme="minorEastAsia" w:eastAsiaTheme="minorEastAsia" w:cstheme="minorEastAsia"/>
              <w:bCs/>
              <w:szCs w:val="32"/>
            </w:rPr>
            <w:fldChar w:fldCharType="end"/>
          </w:r>
        </w:p>
        <w:p w14:paraId="3ED3AE85">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_Toc25351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lang w:val="en-US" w:eastAsia="zh-CN"/>
            </w:rPr>
            <w:t>1.6 事件分级</w:t>
          </w:r>
          <w:r>
            <w:tab/>
          </w:r>
          <w:r>
            <w:fldChar w:fldCharType="begin"/>
          </w:r>
          <w:r>
            <w:instrText xml:space="preserve"> PAGEREF _Toc25351 \h </w:instrText>
          </w:r>
          <w:r>
            <w:fldChar w:fldCharType="separate"/>
          </w:r>
          <w:r>
            <w:t>4</w:t>
          </w:r>
          <w:r>
            <w:fldChar w:fldCharType="end"/>
          </w:r>
          <w:r>
            <w:rPr>
              <w:rFonts w:hint="eastAsia" w:asciiTheme="minorEastAsia" w:hAnsiTheme="minorEastAsia" w:eastAsiaTheme="minorEastAsia" w:cstheme="minorEastAsia"/>
              <w:bCs/>
              <w:szCs w:val="32"/>
            </w:rPr>
            <w:fldChar w:fldCharType="end"/>
          </w:r>
        </w:p>
        <w:p w14:paraId="250E8F0D">
          <w:pPr>
            <w:pStyle w:val="11"/>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_Toc28578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kern w:val="2"/>
              <w:szCs w:val="32"/>
              <w:lang w:val="en-US" w:eastAsia="zh-CN" w:bidi="ar-SA"/>
            </w:rPr>
            <w:t xml:space="preserve">2 </w:t>
          </w:r>
          <w:r>
            <w:rPr>
              <w:rFonts w:hint="eastAsia" w:ascii="宋体" w:hAnsi="宋体" w:cs="宋体"/>
              <w:bCs/>
              <w:kern w:val="2"/>
              <w:szCs w:val="32"/>
              <w:lang w:val="en-US" w:eastAsia="zh-CN" w:bidi="ar-SA"/>
            </w:rPr>
            <w:t>开州区河堰镇双龙洞地下水河堰供水站水源地</w:t>
          </w:r>
          <w:r>
            <w:rPr>
              <w:rFonts w:hint="eastAsia" w:ascii="宋体" w:hAnsi="宋体" w:eastAsia="宋体" w:cs="宋体"/>
              <w:bCs/>
              <w:kern w:val="2"/>
              <w:szCs w:val="32"/>
              <w:lang w:val="en-US" w:eastAsia="zh-CN" w:bidi="ar-SA"/>
            </w:rPr>
            <w:t>基础信息</w:t>
          </w:r>
          <w:r>
            <w:tab/>
          </w:r>
          <w:r>
            <w:fldChar w:fldCharType="begin"/>
          </w:r>
          <w:r>
            <w:instrText xml:space="preserve"> PAGEREF _Toc28578 \h </w:instrText>
          </w:r>
          <w:r>
            <w:fldChar w:fldCharType="separate"/>
          </w:r>
          <w:r>
            <w:t>7</w:t>
          </w:r>
          <w:r>
            <w:fldChar w:fldCharType="end"/>
          </w:r>
          <w:r>
            <w:rPr>
              <w:rFonts w:hint="eastAsia" w:asciiTheme="minorEastAsia" w:hAnsiTheme="minorEastAsia" w:eastAsiaTheme="minorEastAsia" w:cstheme="minorEastAsia"/>
              <w:bCs/>
              <w:szCs w:val="32"/>
            </w:rPr>
            <w:fldChar w:fldCharType="end"/>
          </w:r>
        </w:p>
        <w:p w14:paraId="64E651AC">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_Toc26011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lang w:val="en-US" w:eastAsia="zh-CN"/>
            </w:rPr>
            <w:t xml:space="preserve">2.1 </w:t>
          </w:r>
          <w:r>
            <w:rPr>
              <w:rFonts w:hint="eastAsia" w:ascii="宋体" w:hAnsi="宋体" w:cs="宋体"/>
              <w:bCs/>
              <w:szCs w:val="28"/>
              <w:lang w:val="en-US" w:eastAsia="zh-CN"/>
            </w:rPr>
            <w:t>开州区河堰镇双龙洞地下水河堰供水站水源地</w:t>
          </w:r>
          <w:r>
            <w:rPr>
              <w:rFonts w:hint="eastAsia" w:ascii="宋体" w:hAnsi="宋体" w:eastAsia="宋体" w:cs="宋体"/>
              <w:bCs/>
              <w:szCs w:val="28"/>
              <w:lang w:val="en-US" w:eastAsia="zh-CN"/>
            </w:rPr>
            <w:t>基础信息</w:t>
          </w:r>
          <w:r>
            <w:tab/>
          </w:r>
          <w:r>
            <w:fldChar w:fldCharType="begin"/>
          </w:r>
          <w:r>
            <w:instrText xml:space="preserve"> PAGEREF _Toc26011 \h </w:instrText>
          </w:r>
          <w:r>
            <w:fldChar w:fldCharType="separate"/>
          </w:r>
          <w:r>
            <w:t>7</w:t>
          </w:r>
          <w:r>
            <w:fldChar w:fldCharType="end"/>
          </w:r>
          <w:r>
            <w:rPr>
              <w:rFonts w:hint="eastAsia" w:asciiTheme="minorEastAsia" w:hAnsiTheme="minorEastAsia" w:eastAsiaTheme="minorEastAsia" w:cstheme="minorEastAsia"/>
              <w:bCs/>
              <w:szCs w:val="32"/>
            </w:rPr>
            <w:fldChar w:fldCharType="end"/>
          </w:r>
        </w:p>
        <w:p w14:paraId="369F2847">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_Toc7178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lang w:val="en-US" w:eastAsia="zh-CN"/>
            </w:rPr>
            <w:t>2.2 饮用水源地保护区划分情况简介</w:t>
          </w:r>
          <w:r>
            <w:tab/>
          </w:r>
          <w:r>
            <w:fldChar w:fldCharType="begin"/>
          </w:r>
          <w:r>
            <w:instrText xml:space="preserve"> PAGEREF _Toc7178 \h </w:instrText>
          </w:r>
          <w:r>
            <w:fldChar w:fldCharType="separate"/>
          </w:r>
          <w:r>
            <w:t>7</w:t>
          </w:r>
          <w:r>
            <w:fldChar w:fldCharType="end"/>
          </w:r>
          <w:r>
            <w:rPr>
              <w:rFonts w:hint="eastAsia" w:asciiTheme="minorEastAsia" w:hAnsiTheme="minorEastAsia" w:eastAsiaTheme="minorEastAsia" w:cstheme="minorEastAsia"/>
              <w:bCs/>
              <w:szCs w:val="32"/>
            </w:rPr>
            <w:fldChar w:fldCharType="end"/>
          </w:r>
        </w:p>
        <w:p w14:paraId="174D6B4A">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_Toc11420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kern w:val="2"/>
              <w:szCs w:val="32"/>
              <w:lang w:val="en-US" w:eastAsia="zh-CN" w:bidi="ar-SA"/>
            </w:rPr>
            <w:t>2.3 饮用水水源地规范化建设现状调查</w:t>
          </w:r>
          <w:r>
            <w:tab/>
          </w:r>
          <w:r>
            <w:fldChar w:fldCharType="begin"/>
          </w:r>
          <w:r>
            <w:instrText xml:space="preserve"> PAGEREF _Toc11420 \h </w:instrText>
          </w:r>
          <w:r>
            <w:fldChar w:fldCharType="separate"/>
          </w:r>
          <w:r>
            <w:t>8</w:t>
          </w:r>
          <w:r>
            <w:fldChar w:fldCharType="end"/>
          </w:r>
          <w:r>
            <w:rPr>
              <w:rFonts w:hint="eastAsia" w:asciiTheme="minorEastAsia" w:hAnsiTheme="minorEastAsia" w:eastAsiaTheme="minorEastAsia" w:cstheme="minorEastAsia"/>
              <w:bCs/>
              <w:szCs w:val="32"/>
            </w:rPr>
            <w:fldChar w:fldCharType="end"/>
          </w:r>
        </w:p>
        <w:p w14:paraId="2B224833">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_Toc10356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kern w:val="2"/>
              <w:szCs w:val="32"/>
              <w:lang w:val="en-US" w:eastAsia="zh-CN" w:bidi="ar-SA"/>
            </w:rPr>
            <w:t>2.4 水源地环境风险</w:t>
          </w:r>
          <w:r>
            <w:tab/>
          </w:r>
          <w:r>
            <w:fldChar w:fldCharType="begin"/>
          </w:r>
          <w:r>
            <w:instrText xml:space="preserve"> PAGEREF _Toc10356 \h </w:instrText>
          </w:r>
          <w:r>
            <w:fldChar w:fldCharType="separate"/>
          </w:r>
          <w:r>
            <w:t>13</w:t>
          </w:r>
          <w:r>
            <w:fldChar w:fldCharType="end"/>
          </w:r>
          <w:r>
            <w:rPr>
              <w:rFonts w:hint="eastAsia" w:asciiTheme="minorEastAsia" w:hAnsiTheme="minorEastAsia" w:eastAsiaTheme="minorEastAsia" w:cstheme="minorEastAsia"/>
              <w:bCs/>
              <w:szCs w:val="32"/>
            </w:rPr>
            <w:fldChar w:fldCharType="end"/>
          </w:r>
        </w:p>
        <w:p w14:paraId="1471ED9C">
          <w:pPr>
            <w:pStyle w:val="11"/>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_Toc4272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kern w:val="2"/>
              <w:szCs w:val="32"/>
              <w:lang w:val="en-US" w:eastAsia="zh-CN" w:bidi="ar-SA"/>
            </w:rPr>
            <w:t>3 应急组织机构体系及职责</w:t>
          </w:r>
          <w:r>
            <w:tab/>
          </w:r>
          <w:r>
            <w:fldChar w:fldCharType="begin"/>
          </w:r>
          <w:r>
            <w:instrText xml:space="preserve"> PAGEREF _Toc4272 \h </w:instrText>
          </w:r>
          <w:r>
            <w:fldChar w:fldCharType="separate"/>
          </w:r>
          <w:r>
            <w:t>16</w:t>
          </w:r>
          <w:r>
            <w:fldChar w:fldCharType="end"/>
          </w:r>
          <w:r>
            <w:rPr>
              <w:rFonts w:hint="eastAsia" w:asciiTheme="minorEastAsia" w:hAnsiTheme="minorEastAsia" w:eastAsiaTheme="minorEastAsia" w:cstheme="minorEastAsia"/>
              <w:bCs/>
              <w:szCs w:val="32"/>
            </w:rPr>
            <w:fldChar w:fldCharType="end"/>
          </w:r>
        </w:p>
        <w:p w14:paraId="61C8D579">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_Toc22367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kern w:val="2"/>
              <w:szCs w:val="32"/>
              <w:lang w:val="en-US" w:eastAsia="zh-CN" w:bidi="ar-SA"/>
            </w:rPr>
            <w:t>3.1 应急组织机构</w:t>
          </w:r>
          <w:r>
            <w:tab/>
          </w:r>
          <w:r>
            <w:fldChar w:fldCharType="begin"/>
          </w:r>
          <w:r>
            <w:instrText xml:space="preserve"> PAGEREF _Toc22367 \h </w:instrText>
          </w:r>
          <w:r>
            <w:fldChar w:fldCharType="separate"/>
          </w:r>
          <w:r>
            <w:t>16</w:t>
          </w:r>
          <w:r>
            <w:fldChar w:fldCharType="end"/>
          </w:r>
          <w:r>
            <w:rPr>
              <w:rFonts w:hint="eastAsia" w:asciiTheme="minorEastAsia" w:hAnsiTheme="minorEastAsia" w:eastAsiaTheme="minorEastAsia" w:cstheme="minorEastAsia"/>
              <w:bCs/>
              <w:szCs w:val="32"/>
            </w:rPr>
            <w:fldChar w:fldCharType="end"/>
          </w:r>
        </w:p>
        <w:p w14:paraId="79DAEAEC">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_Toc3359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kern w:val="2"/>
              <w:szCs w:val="32"/>
              <w:lang w:val="en-US" w:eastAsia="zh-CN" w:bidi="ar-SA"/>
            </w:rPr>
            <w:t>3.2 应急工作机构及职责</w:t>
          </w:r>
          <w:r>
            <w:tab/>
          </w:r>
          <w:r>
            <w:fldChar w:fldCharType="begin"/>
          </w:r>
          <w:r>
            <w:instrText xml:space="preserve"> PAGEREF _Toc3359 \h </w:instrText>
          </w:r>
          <w:r>
            <w:fldChar w:fldCharType="separate"/>
          </w:r>
          <w:r>
            <w:t>16</w:t>
          </w:r>
          <w:r>
            <w:fldChar w:fldCharType="end"/>
          </w:r>
          <w:r>
            <w:rPr>
              <w:rFonts w:hint="eastAsia" w:asciiTheme="minorEastAsia" w:hAnsiTheme="minorEastAsia" w:eastAsiaTheme="minorEastAsia" w:cstheme="minorEastAsia"/>
              <w:bCs/>
              <w:szCs w:val="32"/>
            </w:rPr>
            <w:fldChar w:fldCharType="end"/>
          </w:r>
        </w:p>
        <w:p w14:paraId="5A5D00F2">
          <w:pPr>
            <w:pStyle w:val="11"/>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_Toc30376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32"/>
              <w:lang w:val="en-US" w:eastAsia="zh-CN"/>
            </w:rPr>
            <w:t>4</w:t>
          </w:r>
          <w:r>
            <w:rPr>
              <w:rFonts w:hint="eastAsia" w:ascii="宋体" w:hAnsi="宋体" w:cs="宋体"/>
              <w:bCs/>
              <w:szCs w:val="32"/>
              <w:lang w:val="en-US" w:eastAsia="zh-CN"/>
            </w:rPr>
            <w:t xml:space="preserve"> </w:t>
          </w:r>
          <w:r>
            <w:rPr>
              <w:rFonts w:hint="eastAsia" w:cs="宋体"/>
              <w:bCs/>
              <w:szCs w:val="32"/>
              <w:lang w:val="en-US" w:eastAsia="zh-CN"/>
            </w:rPr>
            <w:t>应急响应</w:t>
          </w:r>
          <w:r>
            <w:tab/>
          </w:r>
          <w:r>
            <w:fldChar w:fldCharType="begin"/>
          </w:r>
          <w:r>
            <w:instrText xml:space="preserve"> PAGEREF _Toc30376 \h </w:instrText>
          </w:r>
          <w:r>
            <w:fldChar w:fldCharType="separate"/>
          </w:r>
          <w:r>
            <w:t>20</w:t>
          </w:r>
          <w:r>
            <w:fldChar w:fldCharType="end"/>
          </w:r>
          <w:r>
            <w:rPr>
              <w:rFonts w:hint="eastAsia" w:asciiTheme="minorEastAsia" w:hAnsiTheme="minorEastAsia" w:eastAsiaTheme="minorEastAsia" w:cstheme="minorEastAsia"/>
              <w:bCs/>
              <w:szCs w:val="32"/>
            </w:rPr>
            <w:fldChar w:fldCharType="end"/>
          </w:r>
        </w:p>
        <w:p w14:paraId="6D4EF607">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_Toc24859 </w:instrText>
          </w:r>
          <w:r>
            <w:rPr>
              <w:rFonts w:hint="eastAsia" w:asciiTheme="minorEastAsia" w:hAnsiTheme="minorEastAsia" w:eastAsiaTheme="minorEastAsia" w:cstheme="minorEastAsia"/>
              <w:bCs/>
              <w:szCs w:val="32"/>
            </w:rPr>
            <w:fldChar w:fldCharType="separate"/>
          </w:r>
          <w:r>
            <w:rPr>
              <w:rFonts w:hint="eastAsia" w:ascii="宋体" w:hAnsi="宋体" w:cs="宋体"/>
              <w:bCs/>
              <w:szCs w:val="28"/>
              <w:lang w:val="en-US" w:eastAsia="zh-CN"/>
            </w:rPr>
            <w:t>4</w:t>
          </w:r>
          <w:r>
            <w:rPr>
              <w:rFonts w:hint="eastAsia" w:ascii="宋体" w:hAnsi="宋体" w:eastAsia="宋体" w:cs="宋体"/>
              <w:bCs/>
              <w:szCs w:val="28"/>
              <w:lang w:val="en-US" w:eastAsia="zh-CN"/>
            </w:rPr>
            <w:t>.1</w:t>
          </w:r>
          <w:r>
            <w:rPr>
              <w:rFonts w:hint="eastAsia" w:ascii="宋体" w:hAnsi="宋体" w:cs="宋体"/>
              <w:bCs/>
              <w:szCs w:val="28"/>
              <w:lang w:val="en-US" w:eastAsia="zh-CN"/>
            </w:rPr>
            <w:t xml:space="preserve"> </w:t>
          </w:r>
          <w:r>
            <w:rPr>
              <w:rFonts w:hint="eastAsia" w:ascii="宋体" w:hAnsi="宋体" w:eastAsia="宋体" w:cs="宋体"/>
              <w:bCs/>
              <w:szCs w:val="28"/>
              <w:lang w:val="en-US" w:eastAsia="zh-CN"/>
            </w:rPr>
            <w:t>信息收集与研判</w:t>
          </w:r>
          <w:r>
            <w:tab/>
          </w:r>
          <w:r>
            <w:fldChar w:fldCharType="begin"/>
          </w:r>
          <w:r>
            <w:instrText xml:space="preserve"> PAGEREF _Toc24859 \h </w:instrText>
          </w:r>
          <w:r>
            <w:fldChar w:fldCharType="separate"/>
          </w:r>
          <w:r>
            <w:t>21</w:t>
          </w:r>
          <w:r>
            <w:fldChar w:fldCharType="end"/>
          </w:r>
          <w:r>
            <w:rPr>
              <w:rFonts w:hint="eastAsia" w:asciiTheme="minorEastAsia" w:hAnsiTheme="minorEastAsia" w:eastAsiaTheme="minorEastAsia" w:cstheme="minorEastAsia"/>
              <w:bCs/>
              <w:szCs w:val="32"/>
            </w:rPr>
            <w:fldChar w:fldCharType="end"/>
          </w:r>
        </w:p>
        <w:p w14:paraId="708BCAA2">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_Toc5703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lang w:val="en-US" w:eastAsia="zh-CN"/>
            </w:rPr>
            <w:t>4.</w:t>
          </w:r>
          <w:r>
            <w:rPr>
              <w:rFonts w:hint="eastAsia" w:ascii="宋体" w:hAnsi="宋体" w:cs="宋体"/>
              <w:bCs/>
              <w:szCs w:val="28"/>
              <w:lang w:val="en-US" w:eastAsia="zh-CN"/>
            </w:rPr>
            <w:t>2</w:t>
          </w:r>
          <w:r>
            <w:rPr>
              <w:rFonts w:hint="eastAsia" w:ascii="宋体" w:hAnsi="宋体" w:eastAsia="宋体" w:cs="宋体"/>
              <w:bCs/>
              <w:szCs w:val="28"/>
              <w:lang w:val="en-US" w:eastAsia="zh-CN"/>
            </w:rPr>
            <w:t xml:space="preserve"> 预警</w:t>
          </w:r>
          <w:r>
            <w:tab/>
          </w:r>
          <w:r>
            <w:fldChar w:fldCharType="begin"/>
          </w:r>
          <w:r>
            <w:instrText xml:space="preserve"> PAGEREF _Toc5703 \h </w:instrText>
          </w:r>
          <w:r>
            <w:fldChar w:fldCharType="separate"/>
          </w:r>
          <w:r>
            <w:t>21</w:t>
          </w:r>
          <w:r>
            <w:fldChar w:fldCharType="end"/>
          </w:r>
          <w:r>
            <w:rPr>
              <w:rFonts w:hint="eastAsia" w:asciiTheme="minorEastAsia" w:hAnsiTheme="minorEastAsia" w:eastAsiaTheme="minorEastAsia" w:cstheme="minorEastAsia"/>
              <w:bCs/>
              <w:szCs w:val="32"/>
            </w:rPr>
            <w:fldChar w:fldCharType="end"/>
          </w:r>
        </w:p>
        <w:p w14:paraId="338D6322">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_Toc7209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lang w:val="en-US" w:eastAsia="zh-CN"/>
            </w:rPr>
            <w:t>4.</w:t>
          </w:r>
          <w:r>
            <w:rPr>
              <w:rFonts w:hint="eastAsia" w:ascii="宋体" w:hAnsi="宋体" w:cs="宋体"/>
              <w:bCs/>
              <w:szCs w:val="28"/>
              <w:lang w:val="en-US" w:eastAsia="zh-CN"/>
            </w:rPr>
            <w:t>3</w:t>
          </w:r>
          <w:r>
            <w:rPr>
              <w:rFonts w:hint="eastAsia" w:ascii="宋体" w:hAnsi="宋体" w:eastAsia="宋体" w:cs="宋体"/>
              <w:bCs/>
              <w:szCs w:val="28"/>
              <w:lang w:val="en-US" w:eastAsia="zh-CN"/>
            </w:rPr>
            <w:t xml:space="preserve"> 信息报告与通报</w:t>
          </w:r>
          <w:r>
            <w:tab/>
          </w:r>
          <w:r>
            <w:fldChar w:fldCharType="begin"/>
          </w:r>
          <w:r>
            <w:instrText xml:space="preserve"> PAGEREF _Toc7209 \h </w:instrText>
          </w:r>
          <w:r>
            <w:fldChar w:fldCharType="separate"/>
          </w:r>
          <w:r>
            <w:t>25</w:t>
          </w:r>
          <w:r>
            <w:fldChar w:fldCharType="end"/>
          </w:r>
          <w:r>
            <w:rPr>
              <w:rFonts w:hint="eastAsia" w:asciiTheme="minorEastAsia" w:hAnsiTheme="minorEastAsia" w:eastAsiaTheme="minorEastAsia" w:cstheme="minorEastAsia"/>
              <w:bCs/>
              <w:szCs w:val="32"/>
            </w:rPr>
            <w:fldChar w:fldCharType="end"/>
          </w:r>
        </w:p>
        <w:p w14:paraId="1E9E1A10">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_Toc20869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lang w:val="en-US" w:eastAsia="zh-CN"/>
            </w:rPr>
            <w:t>4.4 事态跟踪研判</w:t>
          </w:r>
          <w:r>
            <w:tab/>
          </w:r>
          <w:r>
            <w:fldChar w:fldCharType="begin"/>
          </w:r>
          <w:r>
            <w:instrText xml:space="preserve"> PAGEREF _Toc20869 \h </w:instrText>
          </w:r>
          <w:r>
            <w:fldChar w:fldCharType="separate"/>
          </w:r>
          <w:r>
            <w:t>26</w:t>
          </w:r>
          <w:r>
            <w:fldChar w:fldCharType="end"/>
          </w:r>
          <w:r>
            <w:rPr>
              <w:rFonts w:hint="eastAsia" w:asciiTheme="minorEastAsia" w:hAnsiTheme="minorEastAsia" w:eastAsiaTheme="minorEastAsia" w:cstheme="minorEastAsia"/>
              <w:bCs/>
              <w:szCs w:val="32"/>
            </w:rPr>
            <w:fldChar w:fldCharType="end"/>
          </w:r>
        </w:p>
        <w:p w14:paraId="049E028E">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_Toc30423 </w:instrText>
          </w:r>
          <w:r>
            <w:rPr>
              <w:rFonts w:hint="eastAsia" w:asciiTheme="minorEastAsia" w:hAnsiTheme="minorEastAsia" w:eastAsiaTheme="minorEastAsia" w:cstheme="minorEastAsia"/>
              <w:bCs/>
              <w:szCs w:val="32"/>
            </w:rPr>
            <w:fldChar w:fldCharType="separate"/>
          </w:r>
          <w:r>
            <w:rPr>
              <w:rFonts w:hint="eastAsia" w:ascii="宋体" w:hAnsi="宋体" w:cs="宋体"/>
              <w:bCs/>
              <w:szCs w:val="28"/>
              <w:lang w:val="en-US" w:eastAsia="zh-CN"/>
            </w:rPr>
            <w:t>4</w:t>
          </w:r>
          <w:r>
            <w:rPr>
              <w:rFonts w:hint="eastAsia" w:ascii="宋体" w:hAnsi="宋体" w:eastAsia="宋体" w:cs="宋体"/>
              <w:bCs/>
              <w:szCs w:val="28"/>
              <w:lang w:val="en-US" w:eastAsia="zh-CN"/>
            </w:rPr>
            <w:t>.5 应急监测</w:t>
          </w:r>
          <w:r>
            <w:tab/>
          </w:r>
          <w:r>
            <w:fldChar w:fldCharType="begin"/>
          </w:r>
          <w:r>
            <w:instrText xml:space="preserve"> PAGEREF _Toc30423 \h </w:instrText>
          </w:r>
          <w:r>
            <w:fldChar w:fldCharType="separate"/>
          </w:r>
          <w:r>
            <w:t>26</w:t>
          </w:r>
          <w:r>
            <w:fldChar w:fldCharType="end"/>
          </w:r>
          <w:r>
            <w:rPr>
              <w:rFonts w:hint="eastAsia" w:asciiTheme="minorEastAsia" w:hAnsiTheme="minorEastAsia" w:eastAsiaTheme="minorEastAsia" w:cstheme="minorEastAsia"/>
              <w:bCs/>
              <w:szCs w:val="32"/>
            </w:rPr>
            <w:fldChar w:fldCharType="end"/>
          </w:r>
        </w:p>
        <w:p w14:paraId="493AADD6">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_Toc10083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lang w:val="en-US" w:eastAsia="zh-CN"/>
            </w:rPr>
            <w:t>4.6 事故源排查与处置</w:t>
          </w:r>
          <w:r>
            <w:tab/>
          </w:r>
          <w:r>
            <w:fldChar w:fldCharType="begin"/>
          </w:r>
          <w:r>
            <w:instrText xml:space="preserve"> PAGEREF _Toc10083 \h </w:instrText>
          </w:r>
          <w:r>
            <w:fldChar w:fldCharType="separate"/>
          </w:r>
          <w:r>
            <w:t>29</w:t>
          </w:r>
          <w:r>
            <w:fldChar w:fldCharType="end"/>
          </w:r>
          <w:r>
            <w:rPr>
              <w:rFonts w:hint="eastAsia" w:asciiTheme="minorEastAsia" w:hAnsiTheme="minorEastAsia" w:eastAsiaTheme="minorEastAsia" w:cstheme="minorEastAsia"/>
              <w:bCs/>
              <w:szCs w:val="32"/>
            </w:rPr>
            <w:fldChar w:fldCharType="end"/>
          </w:r>
        </w:p>
        <w:p w14:paraId="2F81DD5F">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_Toc8744 </w:instrText>
          </w:r>
          <w:r>
            <w:rPr>
              <w:rFonts w:hint="eastAsia" w:asciiTheme="minorEastAsia" w:hAnsiTheme="minorEastAsia" w:eastAsiaTheme="minorEastAsia" w:cstheme="minorEastAsia"/>
              <w:bCs/>
              <w:szCs w:val="32"/>
            </w:rPr>
            <w:fldChar w:fldCharType="separate"/>
          </w:r>
          <w:r>
            <w:rPr>
              <w:rFonts w:hint="eastAsia" w:ascii="宋体" w:hAnsi="宋体" w:cs="宋体"/>
              <w:bCs/>
              <w:szCs w:val="28"/>
              <w:lang w:val="en-US" w:eastAsia="zh-CN"/>
            </w:rPr>
            <w:t>4</w:t>
          </w:r>
          <w:r>
            <w:rPr>
              <w:rFonts w:hint="eastAsia" w:ascii="宋体" w:hAnsi="宋体" w:eastAsia="宋体" w:cs="宋体"/>
              <w:bCs/>
              <w:szCs w:val="28"/>
              <w:lang w:val="en-US" w:eastAsia="zh-CN"/>
            </w:rPr>
            <w:t>.7 应急处置</w:t>
          </w:r>
          <w:r>
            <w:tab/>
          </w:r>
          <w:r>
            <w:fldChar w:fldCharType="begin"/>
          </w:r>
          <w:r>
            <w:instrText xml:space="preserve"> PAGEREF _Toc8744 \h </w:instrText>
          </w:r>
          <w:r>
            <w:fldChar w:fldCharType="separate"/>
          </w:r>
          <w:r>
            <w:t>31</w:t>
          </w:r>
          <w:r>
            <w:fldChar w:fldCharType="end"/>
          </w:r>
          <w:r>
            <w:rPr>
              <w:rFonts w:hint="eastAsia" w:asciiTheme="minorEastAsia" w:hAnsiTheme="minorEastAsia" w:eastAsiaTheme="minorEastAsia" w:cstheme="minorEastAsia"/>
              <w:bCs/>
              <w:szCs w:val="32"/>
            </w:rPr>
            <w:fldChar w:fldCharType="end"/>
          </w:r>
        </w:p>
        <w:p w14:paraId="4C507B61">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_Toc721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lang w:val="en-US" w:eastAsia="zh-CN"/>
            </w:rPr>
            <w:t>4.8 物资调集及应急设施启用</w:t>
          </w:r>
          <w:r>
            <w:tab/>
          </w:r>
          <w:r>
            <w:fldChar w:fldCharType="begin"/>
          </w:r>
          <w:r>
            <w:instrText xml:space="preserve"> PAGEREF _Toc721 \h </w:instrText>
          </w:r>
          <w:r>
            <w:fldChar w:fldCharType="separate"/>
          </w:r>
          <w:r>
            <w:t>34</w:t>
          </w:r>
          <w:r>
            <w:fldChar w:fldCharType="end"/>
          </w:r>
          <w:r>
            <w:rPr>
              <w:rFonts w:hint="eastAsia" w:asciiTheme="minorEastAsia" w:hAnsiTheme="minorEastAsia" w:eastAsiaTheme="minorEastAsia" w:cstheme="minorEastAsia"/>
              <w:bCs/>
              <w:szCs w:val="32"/>
            </w:rPr>
            <w:fldChar w:fldCharType="end"/>
          </w:r>
        </w:p>
        <w:p w14:paraId="315067B8">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_Toc19293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lang w:val="en-US" w:eastAsia="zh-CN"/>
            </w:rPr>
            <w:t>4.9 舆情监测与信息发布</w:t>
          </w:r>
          <w:r>
            <w:tab/>
          </w:r>
          <w:r>
            <w:fldChar w:fldCharType="begin"/>
          </w:r>
          <w:r>
            <w:instrText xml:space="preserve"> PAGEREF _Toc19293 \h </w:instrText>
          </w:r>
          <w:r>
            <w:fldChar w:fldCharType="separate"/>
          </w:r>
          <w:r>
            <w:t>34</w:t>
          </w:r>
          <w:r>
            <w:fldChar w:fldCharType="end"/>
          </w:r>
          <w:r>
            <w:rPr>
              <w:rFonts w:hint="eastAsia" w:asciiTheme="minorEastAsia" w:hAnsiTheme="minorEastAsia" w:eastAsiaTheme="minorEastAsia" w:cstheme="minorEastAsia"/>
              <w:bCs/>
              <w:szCs w:val="32"/>
            </w:rPr>
            <w:fldChar w:fldCharType="end"/>
          </w:r>
        </w:p>
        <w:p w14:paraId="55FA3C7B">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_Toc22998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szCs w:val="28"/>
              <w:lang w:val="en-US" w:eastAsia="zh-CN"/>
            </w:rPr>
            <w:t>4.10 响应终止</w:t>
          </w:r>
          <w:r>
            <w:tab/>
          </w:r>
          <w:r>
            <w:fldChar w:fldCharType="begin"/>
          </w:r>
          <w:r>
            <w:instrText xml:space="preserve"> PAGEREF _Toc22998 \h </w:instrText>
          </w:r>
          <w:r>
            <w:fldChar w:fldCharType="separate"/>
          </w:r>
          <w:r>
            <w:t>34</w:t>
          </w:r>
          <w:r>
            <w:fldChar w:fldCharType="end"/>
          </w:r>
          <w:r>
            <w:rPr>
              <w:rFonts w:hint="eastAsia" w:asciiTheme="minorEastAsia" w:hAnsiTheme="minorEastAsia" w:eastAsiaTheme="minorEastAsia" w:cstheme="minorEastAsia"/>
              <w:bCs/>
              <w:szCs w:val="32"/>
            </w:rPr>
            <w:fldChar w:fldCharType="end"/>
          </w:r>
        </w:p>
        <w:p w14:paraId="25EB9B39">
          <w:pPr>
            <w:pStyle w:val="11"/>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_Toc16130 </w:instrText>
          </w:r>
          <w:r>
            <w:rPr>
              <w:rFonts w:hint="eastAsia" w:asciiTheme="minorEastAsia" w:hAnsiTheme="minorEastAsia" w:eastAsiaTheme="minorEastAsia" w:cstheme="minorEastAsia"/>
              <w:bCs/>
              <w:szCs w:val="32"/>
            </w:rPr>
            <w:fldChar w:fldCharType="separate"/>
          </w:r>
          <w:r>
            <w:rPr>
              <w:rFonts w:hint="eastAsia" w:cs="宋体"/>
              <w:bCs/>
              <w:szCs w:val="32"/>
              <w:lang w:val="en-US" w:eastAsia="zh-CN"/>
            </w:rPr>
            <w:t>5</w:t>
          </w:r>
          <w:r>
            <w:rPr>
              <w:rFonts w:hint="eastAsia" w:ascii="宋体" w:hAnsi="宋体" w:eastAsia="宋体" w:cs="宋体"/>
              <w:bCs/>
              <w:szCs w:val="32"/>
              <w:lang w:val="en-US" w:eastAsia="zh-CN"/>
            </w:rPr>
            <w:t xml:space="preserve"> </w:t>
          </w:r>
          <w:r>
            <w:rPr>
              <w:rFonts w:hint="eastAsia" w:cs="宋体"/>
              <w:bCs/>
              <w:szCs w:val="32"/>
              <w:lang w:val="en-US" w:eastAsia="zh-CN"/>
            </w:rPr>
            <w:t>后期工作</w:t>
          </w:r>
          <w:r>
            <w:tab/>
          </w:r>
          <w:r>
            <w:fldChar w:fldCharType="begin"/>
          </w:r>
          <w:r>
            <w:instrText xml:space="preserve"> PAGEREF _Toc16130 \h </w:instrText>
          </w:r>
          <w:r>
            <w:fldChar w:fldCharType="separate"/>
          </w:r>
          <w:r>
            <w:t>36</w:t>
          </w:r>
          <w:r>
            <w:fldChar w:fldCharType="end"/>
          </w:r>
          <w:r>
            <w:rPr>
              <w:rFonts w:hint="eastAsia" w:asciiTheme="minorEastAsia" w:hAnsiTheme="minorEastAsia" w:eastAsiaTheme="minorEastAsia" w:cstheme="minorEastAsia"/>
              <w:bCs/>
              <w:szCs w:val="32"/>
            </w:rPr>
            <w:fldChar w:fldCharType="end"/>
          </w:r>
        </w:p>
        <w:p w14:paraId="3B3CA0CE">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_Toc17128 </w:instrText>
          </w:r>
          <w:r>
            <w:rPr>
              <w:rFonts w:hint="eastAsia" w:asciiTheme="minorEastAsia" w:hAnsiTheme="minorEastAsia" w:eastAsiaTheme="minorEastAsia" w:cstheme="minorEastAsia"/>
              <w:bCs/>
              <w:szCs w:val="32"/>
            </w:rPr>
            <w:fldChar w:fldCharType="separate"/>
          </w:r>
          <w:r>
            <w:rPr>
              <w:rFonts w:hint="eastAsia" w:ascii="宋体" w:hAnsi="宋体" w:cs="宋体"/>
              <w:bCs/>
              <w:szCs w:val="28"/>
              <w:lang w:val="en-US" w:eastAsia="zh-CN"/>
            </w:rPr>
            <w:t>5</w:t>
          </w:r>
          <w:r>
            <w:rPr>
              <w:rFonts w:hint="eastAsia" w:ascii="宋体" w:hAnsi="宋体" w:eastAsia="宋体" w:cs="宋体"/>
              <w:bCs/>
              <w:szCs w:val="28"/>
              <w:lang w:val="en-US" w:eastAsia="zh-CN"/>
            </w:rPr>
            <w:t>.1 后期防控</w:t>
          </w:r>
          <w:r>
            <w:tab/>
          </w:r>
          <w:r>
            <w:fldChar w:fldCharType="begin"/>
          </w:r>
          <w:r>
            <w:instrText xml:space="preserve"> PAGEREF _Toc17128 \h </w:instrText>
          </w:r>
          <w:r>
            <w:fldChar w:fldCharType="separate"/>
          </w:r>
          <w:r>
            <w:t>36</w:t>
          </w:r>
          <w:r>
            <w:fldChar w:fldCharType="end"/>
          </w:r>
          <w:r>
            <w:rPr>
              <w:rFonts w:hint="eastAsia" w:asciiTheme="minorEastAsia" w:hAnsiTheme="minorEastAsia" w:eastAsiaTheme="minorEastAsia" w:cstheme="minorEastAsia"/>
              <w:bCs/>
              <w:szCs w:val="32"/>
            </w:rPr>
            <w:fldChar w:fldCharType="end"/>
          </w:r>
        </w:p>
        <w:p w14:paraId="73EC552E">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_Toc11625 </w:instrText>
          </w:r>
          <w:r>
            <w:rPr>
              <w:rFonts w:hint="eastAsia" w:asciiTheme="minorEastAsia" w:hAnsiTheme="minorEastAsia" w:eastAsiaTheme="minorEastAsia" w:cstheme="minorEastAsia"/>
              <w:bCs/>
              <w:szCs w:val="32"/>
            </w:rPr>
            <w:fldChar w:fldCharType="separate"/>
          </w:r>
          <w:r>
            <w:rPr>
              <w:rFonts w:hint="eastAsia" w:ascii="宋体" w:hAnsi="宋体" w:cs="宋体"/>
              <w:bCs/>
              <w:szCs w:val="28"/>
              <w:lang w:val="en-US" w:eastAsia="zh-CN"/>
            </w:rPr>
            <w:t>5</w:t>
          </w:r>
          <w:r>
            <w:rPr>
              <w:rFonts w:hint="eastAsia" w:ascii="宋体" w:hAnsi="宋体" w:eastAsia="宋体" w:cs="宋体"/>
              <w:bCs/>
              <w:szCs w:val="28"/>
              <w:lang w:val="en-US" w:eastAsia="zh-CN"/>
            </w:rPr>
            <w:t>.2 事件调查</w:t>
          </w:r>
          <w:r>
            <w:tab/>
          </w:r>
          <w:r>
            <w:fldChar w:fldCharType="begin"/>
          </w:r>
          <w:r>
            <w:instrText xml:space="preserve"> PAGEREF _Toc11625 \h </w:instrText>
          </w:r>
          <w:r>
            <w:fldChar w:fldCharType="separate"/>
          </w:r>
          <w:r>
            <w:t>37</w:t>
          </w:r>
          <w:r>
            <w:fldChar w:fldCharType="end"/>
          </w:r>
          <w:r>
            <w:rPr>
              <w:rFonts w:hint="eastAsia" w:asciiTheme="minorEastAsia" w:hAnsiTheme="minorEastAsia" w:eastAsiaTheme="minorEastAsia" w:cstheme="minorEastAsia"/>
              <w:bCs/>
              <w:szCs w:val="32"/>
            </w:rPr>
            <w:fldChar w:fldCharType="end"/>
          </w:r>
        </w:p>
        <w:p w14:paraId="2A9C1C31">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_Toc6650 </w:instrText>
          </w:r>
          <w:r>
            <w:rPr>
              <w:rFonts w:hint="eastAsia" w:asciiTheme="minorEastAsia" w:hAnsiTheme="minorEastAsia" w:eastAsiaTheme="minorEastAsia" w:cstheme="minorEastAsia"/>
              <w:bCs/>
              <w:szCs w:val="32"/>
            </w:rPr>
            <w:fldChar w:fldCharType="separate"/>
          </w:r>
          <w:r>
            <w:rPr>
              <w:rFonts w:hint="eastAsia" w:ascii="宋体" w:hAnsi="宋体" w:cs="宋体"/>
              <w:bCs/>
              <w:szCs w:val="28"/>
              <w:lang w:val="en-US" w:eastAsia="zh-CN"/>
            </w:rPr>
            <w:t>5</w:t>
          </w:r>
          <w:r>
            <w:rPr>
              <w:rFonts w:hint="eastAsia" w:ascii="宋体" w:hAnsi="宋体" w:eastAsia="宋体" w:cs="宋体"/>
              <w:bCs/>
              <w:szCs w:val="28"/>
              <w:lang w:val="en-US" w:eastAsia="zh-CN"/>
            </w:rPr>
            <w:t>.3 损害评估</w:t>
          </w:r>
          <w:r>
            <w:tab/>
          </w:r>
          <w:r>
            <w:fldChar w:fldCharType="begin"/>
          </w:r>
          <w:r>
            <w:instrText xml:space="preserve"> PAGEREF _Toc6650 \h </w:instrText>
          </w:r>
          <w:r>
            <w:fldChar w:fldCharType="separate"/>
          </w:r>
          <w:r>
            <w:t>37</w:t>
          </w:r>
          <w:r>
            <w:fldChar w:fldCharType="end"/>
          </w:r>
          <w:r>
            <w:rPr>
              <w:rFonts w:hint="eastAsia" w:asciiTheme="minorEastAsia" w:hAnsiTheme="minorEastAsia" w:eastAsiaTheme="minorEastAsia" w:cstheme="minorEastAsia"/>
              <w:bCs/>
              <w:szCs w:val="32"/>
            </w:rPr>
            <w:fldChar w:fldCharType="end"/>
          </w:r>
        </w:p>
        <w:p w14:paraId="64D851A2">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_Toc25595 </w:instrText>
          </w:r>
          <w:r>
            <w:rPr>
              <w:rFonts w:hint="eastAsia" w:asciiTheme="minorEastAsia" w:hAnsiTheme="minorEastAsia" w:eastAsiaTheme="minorEastAsia" w:cstheme="minorEastAsia"/>
              <w:bCs/>
              <w:szCs w:val="32"/>
            </w:rPr>
            <w:fldChar w:fldCharType="separate"/>
          </w:r>
          <w:r>
            <w:rPr>
              <w:rFonts w:hint="eastAsia" w:ascii="宋体" w:hAnsi="宋体" w:cs="宋体"/>
              <w:bCs/>
              <w:szCs w:val="28"/>
              <w:lang w:val="en-US" w:eastAsia="zh-CN"/>
            </w:rPr>
            <w:t>5</w:t>
          </w:r>
          <w:r>
            <w:rPr>
              <w:rFonts w:hint="eastAsia" w:ascii="宋体" w:hAnsi="宋体" w:eastAsia="宋体" w:cs="宋体"/>
              <w:bCs/>
              <w:szCs w:val="28"/>
              <w:lang w:val="en-US" w:eastAsia="zh-CN"/>
            </w:rPr>
            <w:t>.4 善后处置</w:t>
          </w:r>
          <w:r>
            <w:tab/>
          </w:r>
          <w:r>
            <w:fldChar w:fldCharType="begin"/>
          </w:r>
          <w:r>
            <w:instrText xml:space="preserve"> PAGEREF _Toc25595 \h </w:instrText>
          </w:r>
          <w:r>
            <w:fldChar w:fldCharType="separate"/>
          </w:r>
          <w:r>
            <w:t>37</w:t>
          </w:r>
          <w:r>
            <w:fldChar w:fldCharType="end"/>
          </w:r>
          <w:r>
            <w:rPr>
              <w:rFonts w:hint="eastAsia" w:asciiTheme="minorEastAsia" w:hAnsiTheme="minorEastAsia" w:eastAsiaTheme="minorEastAsia" w:cstheme="minorEastAsia"/>
              <w:bCs/>
              <w:szCs w:val="32"/>
            </w:rPr>
            <w:fldChar w:fldCharType="end"/>
          </w:r>
        </w:p>
        <w:p w14:paraId="66CEF2CD">
          <w:pPr>
            <w:pStyle w:val="11"/>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_Toc23311 </w:instrText>
          </w:r>
          <w:r>
            <w:rPr>
              <w:rFonts w:hint="eastAsia" w:asciiTheme="minorEastAsia" w:hAnsiTheme="minorEastAsia" w:eastAsiaTheme="minorEastAsia" w:cstheme="minorEastAsia"/>
              <w:bCs/>
              <w:szCs w:val="32"/>
            </w:rPr>
            <w:fldChar w:fldCharType="separate"/>
          </w:r>
          <w:r>
            <w:rPr>
              <w:rFonts w:hint="eastAsia" w:cs="宋体"/>
              <w:bCs/>
              <w:szCs w:val="32"/>
              <w:lang w:val="en-US" w:eastAsia="zh-CN"/>
            </w:rPr>
            <w:t>6</w:t>
          </w:r>
          <w:r>
            <w:rPr>
              <w:rFonts w:hint="eastAsia" w:ascii="宋体" w:hAnsi="宋体" w:eastAsia="宋体" w:cs="宋体"/>
              <w:bCs/>
              <w:szCs w:val="32"/>
              <w:lang w:val="en-US" w:eastAsia="zh-CN"/>
            </w:rPr>
            <w:t xml:space="preserve"> 应急保障</w:t>
          </w:r>
          <w:r>
            <w:tab/>
          </w:r>
          <w:r>
            <w:fldChar w:fldCharType="begin"/>
          </w:r>
          <w:r>
            <w:instrText xml:space="preserve"> PAGEREF _Toc23311 \h </w:instrText>
          </w:r>
          <w:r>
            <w:fldChar w:fldCharType="separate"/>
          </w:r>
          <w:r>
            <w:t>38</w:t>
          </w:r>
          <w:r>
            <w:fldChar w:fldCharType="end"/>
          </w:r>
          <w:r>
            <w:rPr>
              <w:rFonts w:hint="eastAsia" w:asciiTheme="minorEastAsia" w:hAnsiTheme="minorEastAsia" w:eastAsiaTheme="minorEastAsia" w:cstheme="minorEastAsia"/>
              <w:bCs/>
              <w:szCs w:val="32"/>
            </w:rPr>
            <w:fldChar w:fldCharType="end"/>
          </w:r>
        </w:p>
        <w:p w14:paraId="741987C9">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_Toc10752 </w:instrText>
          </w:r>
          <w:r>
            <w:rPr>
              <w:rFonts w:hint="eastAsia" w:asciiTheme="minorEastAsia" w:hAnsiTheme="minorEastAsia" w:eastAsiaTheme="minorEastAsia" w:cstheme="minorEastAsia"/>
              <w:bCs/>
              <w:szCs w:val="32"/>
            </w:rPr>
            <w:fldChar w:fldCharType="separate"/>
          </w:r>
          <w:r>
            <w:rPr>
              <w:rFonts w:hint="eastAsia" w:ascii="宋体" w:hAnsi="宋体" w:cs="宋体"/>
              <w:bCs/>
              <w:szCs w:val="28"/>
              <w:lang w:val="en-US" w:eastAsia="zh-CN"/>
            </w:rPr>
            <w:t>6</w:t>
          </w:r>
          <w:r>
            <w:rPr>
              <w:rFonts w:hint="eastAsia" w:ascii="宋体" w:hAnsi="宋体" w:eastAsia="宋体" w:cs="宋体"/>
              <w:bCs/>
              <w:szCs w:val="28"/>
              <w:lang w:val="en-US" w:eastAsia="zh-CN"/>
            </w:rPr>
            <w:t>.1 队伍保障</w:t>
          </w:r>
          <w:r>
            <w:tab/>
          </w:r>
          <w:r>
            <w:fldChar w:fldCharType="begin"/>
          </w:r>
          <w:r>
            <w:instrText xml:space="preserve"> PAGEREF _Toc10752 \h </w:instrText>
          </w:r>
          <w:r>
            <w:fldChar w:fldCharType="separate"/>
          </w:r>
          <w:r>
            <w:t>38</w:t>
          </w:r>
          <w:r>
            <w:fldChar w:fldCharType="end"/>
          </w:r>
          <w:r>
            <w:rPr>
              <w:rFonts w:hint="eastAsia" w:asciiTheme="minorEastAsia" w:hAnsiTheme="minorEastAsia" w:eastAsiaTheme="minorEastAsia" w:cstheme="minorEastAsia"/>
              <w:bCs/>
              <w:szCs w:val="32"/>
            </w:rPr>
            <w:fldChar w:fldCharType="end"/>
          </w:r>
        </w:p>
        <w:p w14:paraId="6E01CAA1">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_Toc18002 </w:instrText>
          </w:r>
          <w:r>
            <w:rPr>
              <w:rFonts w:hint="eastAsia" w:asciiTheme="minorEastAsia" w:hAnsiTheme="minorEastAsia" w:eastAsiaTheme="minorEastAsia" w:cstheme="minorEastAsia"/>
              <w:bCs/>
              <w:szCs w:val="32"/>
            </w:rPr>
            <w:fldChar w:fldCharType="separate"/>
          </w:r>
          <w:r>
            <w:rPr>
              <w:rFonts w:hint="eastAsia" w:ascii="宋体" w:hAnsi="宋体" w:cs="宋体"/>
              <w:bCs/>
              <w:szCs w:val="28"/>
              <w:lang w:val="en-US" w:eastAsia="zh-CN"/>
            </w:rPr>
            <w:t>6</w:t>
          </w:r>
          <w:r>
            <w:rPr>
              <w:rFonts w:hint="eastAsia" w:ascii="宋体" w:hAnsi="宋体" w:eastAsia="宋体" w:cs="宋体"/>
              <w:bCs/>
              <w:szCs w:val="28"/>
              <w:lang w:val="en-US" w:eastAsia="zh-CN"/>
            </w:rPr>
            <w:t>.2 物资、装备与资金保障</w:t>
          </w:r>
          <w:r>
            <w:tab/>
          </w:r>
          <w:r>
            <w:fldChar w:fldCharType="begin"/>
          </w:r>
          <w:r>
            <w:instrText xml:space="preserve"> PAGEREF _Toc18002 \h </w:instrText>
          </w:r>
          <w:r>
            <w:fldChar w:fldCharType="separate"/>
          </w:r>
          <w:r>
            <w:t>38</w:t>
          </w:r>
          <w:r>
            <w:fldChar w:fldCharType="end"/>
          </w:r>
          <w:r>
            <w:rPr>
              <w:rFonts w:hint="eastAsia" w:asciiTheme="minorEastAsia" w:hAnsiTheme="minorEastAsia" w:eastAsiaTheme="minorEastAsia" w:cstheme="minorEastAsia"/>
              <w:bCs/>
              <w:szCs w:val="32"/>
            </w:rPr>
            <w:fldChar w:fldCharType="end"/>
          </w:r>
        </w:p>
        <w:p w14:paraId="372217D1">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_Toc9432 </w:instrText>
          </w:r>
          <w:r>
            <w:rPr>
              <w:rFonts w:hint="eastAsia" w:asciiTheme="minorEastAsia" w:hAnsiTheme="minorEastAsia" w:eastAsiaTheme="minorEastAsia" w:cstheme="minorEastAsia"/>
              <w:bCs/>
              <w:szCs w:val="32"/>
            </w:rPr>
            <w:fldChar w:fldCharType="separate"/>
          </w:r>
          <w:r>
            <w:rPr>
              <w:rFonts w:hint="eastAsia" w:ascii="宋体" w:hAnsi="宋体" w:cs="宋体"/>
              <w:bCs/>
              <w:szCs w:val="28"/>
              <w:lang w:val="en-US" w:eastAsia="zh-CN"/>
            </w:rPr>
            <w:t>6</w:t>
          </w:r>
          <w:r>
            <w:rPr>
              <w:rFonts w:hint="eastAsia" w:ascii="宋体" w:hAnsi="宋体" w:eastAsia="宋体" w:cs="宋体"/>
              <w:bCs/>
              <w:szCs w:val="28"/>
              <w:lang w:val="en-US" w:eastAsia="zh-CN"/>
            </w:rPr>
            <w:t>.3 通信、交通与运输保障</w:t>
          </w:r>
          <w:r>
            <w:tab/>
          </w:r>
          <w:r>
            <w:fldChar w:fldCharType="begin"/>
          </w:r>
          <w:r>
            <w:instrText xml:space="preserve"> PAGEREF _Toc9432 \h </w:instrText>
          </w:r>
          <w:r>
            <w:fldChar w:fldCharType="separate"/>
          </w:r>
          <w:r>
            <w:t>38</w:t>
          </w:r>
          <w:r>
            <w:fldChar w:fldCharType="end"/>
          </w:r>
          <w:r>
            <w:rPr>
              <w:rFonts w:hint="eastAsia" w:asciiTheme="minorEastAsia" w:hAnsiTheme="minorEastAsia" w:eastAsiaTheme="minorEastAsia" w:cstheme="minorEastAsia"/>
              <w:bCs/>
              <w:szCs w:val="32"/>
            </w:rPr>
            <w:fldChar w:fldCharType="end"/>
          </w:r>
        </w:p>
        <w:p w14:paraId="2985CDCD">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_Toc16901 </w:instrText>
          </w:r>
          <w:r>
            <w:rPr>
              <w:rFonts w:hint="eastAsia" w:asciiTheme="minorEastAsia" w:hAnsiTheme="minorEastAsia" w:eastAsiaTheme="minorEastAsia" w:cstheme="minorEastAsia"/>
              <w:bCs/>
              <w:szCs w:val="32"/>
            </w:rPr>
            <w:fldChar w:fldCharType="separate"/>
          </w:r>
          <w:r>
            <w:rPr>
              <w:rFonts w:hint="eastAsia" w:ascii="宋体" w:hAnsi="宋体" w:cs="宋体"/>
              <w:bCs/>
              <w:szCs w:val="28"/>
              <w:lang w:val="en-US" w:eastAsia="zh-CN"/>
            </w:rPr>
            <w:t>6</w:t>
          </w:r>
          <w:r>
            <w:rPr>
              <w:rFonts w:hint="eastAsia" w:ascii="宋体" w:hAnsi="宋体" w:eastAsia="宋体" w:cs="宋体"/>
              <w:bCs/>
              <w:szCs w:val="28"/>
              <w:lang w:val="en-US" w:eastAsia="zh-CN"/>
            </w:rPr>
            <w:t>.4 技术保障</w:t>
          </w:r>
          <w:r>
            <w:tab/>
          </w:r>
          <w:r>
            <w:fldChar w:fldCharType="begin"/>
          </w:r>
          <w:r>
            <w:instrText xml:space="preserve"> PAGEREF _Toc16901 \h </w:instrText>
          </w:r>
          <w:r>
            <w:fldChar w:fldCharType="separate"/>
          </w:r>
          <w:r>
            <w:t>39</w:t>
          </w:r>
          <w:r>
            <w:fldChar w:fldCharType="end"/>
          </w:r>
          <w:r>
            <w:rPr>
              <w:rFonts w:hint="eastAsia" w:asciiTheme="minorEastAsia" w:hAnsiTheme="minorEastAsia" w:eastAsiaTheme="minorEastAsia" w:cstheme="minorEastAsia"/>
              <w:bCs/>
              <w:szCs w:val="32"/>
            </w:rPr>
            <w:fldChar w:fldCharType="end"/>
          </w:r>
        </w:p>
        <w:p w14:paraId="1AA1276D">
          <w:pPr>
            <w:pStyle w:val="11"/>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_Toc1714 </w:instrText>
          </w:r>
          <w:r>
            <w:rPr>
              <w:rFonts w:hint="eastAsia" w:asciiTheme="minorEastAsia" w:hAnsiTheme="minorEastAsia" w:eastAsiaTheme="minorEastAsia" w:cstheme="minorEastAsia"/>
              <w:bCs/>
              <w:szCs w:val="32"/>
            </w:rPr>
            <w:fldChar w:fldCharType="separate"/>
          </w:r>
          <w:r>
            <w:rPr>
              <w:rFonts w:hint="eastAsia" w:ascii="宋体" w:hAnsi="宋体" w:cs="宋体"/>
              <w:bCs/>
              <w:kern w:val="2"/>
              <w:szCs w:val="32"/>
              <w:lang w:val="en-US" w:eastAsia="zh-CN" w:bidi="ar-SA"/>
            </w:rPr>
            <w:t>7</w:t>
          </w:r>
          <w:r>
            <w:rPr>
              <w:rFonts w:hint="eastAsia" w:ascii="宋体" w:hAnsi="宋体" w:eastAsia="宋体" w:cs="宋体"/>
              <w:bCs/>
              <w:kern w:val="2"/>
              <w:szCs w:val="32"/>
              <w:lang w:val="en-US" w:eastAsia="zh-CN" w:bidi="ar-SA"/>
            </w:rPr>
            <w:t xml:space="preserve"> 监督管理</w:t>
          </w:r>
          <w:r>
            <w:tab/>
          </w:r>
          <w:r>
            <w:fldChar w:fldCharType="begin"/>
          </w:r>
          <w:r>
            <w:instrText xml:space="preserve"> PAGEREF _Toc1714 \h </w:instrText>
          </w:r>
          <w:r>
            <w:fldChar w:fldCharType="separate"/>
          </w:r>
          <w:r>
            <w:t>40</w:t>
          </w:r>
          <w:r>
            <w:fldChar w:fldCharType="end"/>
          </w:r>
          <w:r>
            <w:rPr>
              <w:rFonts w:hint="eastAsia" w:asciiTheme="minorEastAsia" w:hAnsiTheme="minorEastAsia" w:eastAsiaTheme="minorEastAsia" w:cstheme="minorEastAsia"/>
              <w:bCs/>
              <w:szCs w:val="32"/>
            </w:rPr>
            <w:fldChar w:fldCharType="end"/>
          </w:r>
        </w:p>
        <w:p w14:paraId="5B67AC16">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_Toc20672 </w:instrText>
          </w:r>
          <w:r>
            <w:rPr>
              <w:rFonts w:hint="eastAsia" w:asciiTheme="minorEastAsia" w:hAnsiTheme="minorEastAsia" w:eastAsiaTheme="minorEastAsia" w:cstheme="minorEastAsia"/>
              <w:bCs/>
              <w:szCs w:val="32"/>
            </w:rPr>
            <w:fldChar w:fldCharType="separate"/>
          </w:r>
          <w:r>
            <w:rPr>
              <w:rFonts w:hint="eastAsia" w:ascii="宋体" w:hAnsi="宋体" w:cs="宋体"/>
              <w:bCs/>
              <w:kern w:val="2"/>
              <w:szCs w:val="32"/>
              <w:lang w:val="en-US" w:eastAsia="zh-CN" w:bidi="ar-SA"/>
            </w:rPr>
            <w:t>7</w:t>
          </w:r>
          <w:r>
            <w:rPr>
              <w:rFonts w:hint="eastAsia" w:ascii="宋体" w:hAnsi="宋体" w:eastAsia="宋体" w:cs="宋体"/>
              <w:bCs/>
              <w:kern w:val="2"/>
              <w:szCs w:val="32"/>
              <w:lang w:val="en-US" w:eastAsia="zh-CN" w:bidi="ar-SA"/>
            </w:rPr>
            <w:t>.1 应急预案演练</w:t>
          </w:r>
          <w:r>
            <w:tab/>
          </w:r>
          <w:r>
            <w:fldChar w:fldCharType="begin"/>
          </w:r>
          <w:r>
            <w:instrText xml:space="preserve"> PAGEREF _Toc20672 \h </w:instrText>
          </w:r>
          <w:r>
            <w:fldChar w:fldCharType="separate"/>
          </w:r>
          <w:r>
            <w:t>40</w:t>
          </w:r>
          <w:r>
            <w:fldChar w:fldCharType="end"/>
          </w:r>
          <w:r>
            <w:rPr>
              <w:rFonts w:hint="eastAsia" w:asciiTheme="minorEastAsia" w:hAnsiTheme="minorEastAsia" w:eastAsiaTheme="minorEastAsia" w:cstheme="minorEastAsia"/>
              <w:bCs/>
              <w:szCs w:val="32"/>
            </w:rPr>
            <w:fldChar w:fldCharType="end"/>
          </w:r>
        </w:p>
        <w:p w14:paraId="46109C90">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_Toc9284 </w:instrText>
          </w:r>
          <w:r>
            <w:rPr>
              <w:rFonts w:hint="eastAsia" w:asciiTheme="minorEastAsia" w:hAnsiTheme="minorEastAsia" w:eastAsiaTheme="minorEastAsia" w:cstheme="minorEastAsia"/>
              <w:bCs/>
              <w:szCs w:val="32"/>
            </w:rPr>
            <w:fldChar w:fldCharType="separate"/>
          </w:r>
          <w:r>
            <w:rPr>
              <w:rFonts w:hint="eastAsia" w:ascii="宋体" w:hAnsi="宋体" w:cs="宋体"/>
              <w:bCs/>
              <w:kern w:val="2"/>
              <w:szCs w:val="32"/>
              <w:lang w:val="en-US" w:eastAsia="zh-CN" w:bidi="ar-SA"/>
            </w:rPr>
            <w:t>7</w:t>
          </w:r>
          <w:r>
            <w:rPr>
              <w:rFonts w:hint="eastAsia" w:ascii="宋体" w:hAnsi="宋体" w:eastAsia="宋体" w:cs="宋体"/>
              <w:bCs/>
              <w:kern w:val="2"/>
              <w:szCs w:val="32"/>
              <w:lang w:val="en-US" w:eastAsia="zh-CN" w:bidi="ar-SA"/>
            </w:rPr>
            <w:t>.2 宣传</w:t>
          </w:r>
          <w:r>
            <w:tab/>
          </w:r>
          <w:r>
            <w:fldChar w:fldCharType="begin"/>
          </w:r>
          <w:r>
            <w:instrText xml:space="preserve"> PAGEREF _Toc9284 \h </w:instrText>
          </w:r>
          <w:r>
            <w:fldChar w:fldCharType="separate"/>
          </w:r>
          <w:r>
            <w:t>40</w:t>
          </w:r>
          <w:r>
            <w:fldChar w:fldCharType="end"/>
          </w:r>
          <w:r>
            <w:rPr>
              <w:rFonts w:hint="eastAsia" w:asciiTheme="minorEastAsia" w:hAnsiTheme="minorEastAsia" w:eastAsiaTheme="minorEastAsia" w:cstheme="minorEastAsia"/>
              <w:bCs/>
              <w:szCs w:val="32"/>
            </w:rPr>
            <w:fldChar w:fldCharType="end"/>
          </w:r>
        </w:p>
        <w:p w14:paraId="3735EA22">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_Toc26331 </w:instrText>
          </w:r>
          <w:r>
            <w:rPr>
              <w:rFonts w:hint="eastAsia" w:asciiTheme="minorEastAsia" w:hAnsiTheme="minorEastAsia" w:eastAsiaTheme="minorEastAsia" w:cstheme="minorEastAsia"/>
              <w:bCs/>
              <w:szCs w:val="32"/>
            </w:rPr>
            <w:fldChar w:fldCharType="separate"/>
          </w:r>
          <w:r>
            <w:rPr>
              <w:rFonts w:hint="eastAsia" w:ascii="宋体" w:hAnsi="宋体" w:cs="宋体"/>
              <w:bCs/>
              <w:kern w:val="2"/>
              <w:szCs w:val="32"/>
              <w:lang w:val="en-US" w:eastAsia="zh-CN" w:bidi="ar-SA"/>
            </w:rPr>
            <w:t>7</w:t>
          </w:r>
          <w:r>
            <w:rPr>
              <w:rFonts w:hint="eastAsia" w:ascii="宋体" w:hAnsi="宋体" w:eastAsia="宋体" w:cs="宋体"/>
              <w:bCs/>
              <w:kern w:val="2"/>
              <w:szCs w:val="32"/>
              <w:lang w:val="en-US" w:eastAsia="zh-CN" w:bidi="ar-SA"/>
            </w:rPr>
            <w:t>.3 培训</w:t>
          </w:r>
          <w:r>
            <w:tab/>
          </w:r>
          <w:r>
            <w:fldChar w:fldCharType="begin"/>
          </w:r>
          <w:r>
            <w:instrText xml:space="preserve"> PAGEREF _Toc26331 \h </w:instrText>
          </w:r>
          <w:r>
            <w:fldChar w:fldCharType="separate"/>
          </w:r>
          <w:r>
            <w:t>40</w:t>
          </w:r>
          <w:r>
            <w:fldChar w:fldCharType="end"/>
          </w:r>
          <w:r>
            <w:rPr>
              <w:rFonts w:hint="eastAsia" w:asciiTheme="minorEastAsia" w:hAnsiTheme="minorEastAsia" w:eastAsiaTheme="minorEastAsia" w:cstheme="minorEastAsia"/>
              <w:bCs/>
              <w:szCs w:val="32"/>
            </w:rPr>
            <w:fldChar w:fldCharType="end"/>
          </w:r>
        </w:p>
        <w:p w14:paraId="6BC1B843">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_Toc12573 </w:instrText>
          </w:r>
          <w:r>
            <w:rPr>
              <w:rFonts w:hint="eastAsia" w:asciiTheme="minorEastAsia" w:hAnsiTheme="minorEastAsia" w:eastAsiaTheme="minorEastAsia" w:cstheme="minorEastAsia"/>
              <w:bCs/>
              <w:szCs w:val="32"/>
            </w:rPr>
            <w:fldChar w:fldCharType="separate"/>
          </w:r>
          <w:r>
            <w:rPr>
              <w:rFonts w:hint="eastAsia" w:ascii="宋体" w:hAnsi="宋体" w:cs="宋体"/>
              <w:bCs/>
              <w:kern w:val="2"/>
              <w:szCs w:val="32"/>
              <w:lang w:val="en-US" w:eastAsia="zh-CN" w:bidi="ar-SA"/>
            </w:rPr>
            <w:t>7</w:t>
          </w:r>
          <w:r>
            <w:rPr>
              <w:rFonts w:hint="eastAsia" w:ascii="宋体" w:hAnsi="宋体" w:eastAsia="宋体" w:cs="宋体"/>
              <w:bCs/>
              <w:kern w:val="2"/>
              <w:szCs w:val="32"/>
              <w:lang w:val="en-US" w:eastAsia="zh-CN" w:bidi="ar-SA"/>
            </w:rPr>
            <w:t>.4 预案管理</w:t>
          </w:r>
          <w:r>
            <w:tab/>
          </w:r>
          <w:r>
            <w:fldChar w:fldCharType="begin"/>
          </w:r>
          <w:r>
            <w:instrText xml:space="preserve"> PAGEREF _Toc12573 \h </w:instrText>
          </w:r>
          <w:r>
            <w:fldChar w:fldCharType="separate"/>
          </w:r>
          <w:r>
            <w:t>40</w:t>
          </w:r>
          <w:r>
            <w:fldChar w:fldCharType="end"/>
          </w:r>
          <w:r>
            <w:rPr>
              <w:rFonts w:hint="eastAsia" w:asciiTheme="minorEastAsia" w:hAnsiTheme="minorEastAsia" w:eastAsiaTheme="minorEastAsia" w:cstheme="minorEastAsia"/>
              <w:bCs/>
              <w:szCs w:val="32"/>
            </w:rPr>
            <w:fldChar w:fldCharType="end"/>
          </w:r>
        </w:p>
        <w:p w14:paraId="63C3AE43">
          <w:pPr>
            <w:pStyle w:val="11"/>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_Toc32760 </w:instrText>
          </w:r>
          <w:r>
            <w:rPr>
              <w:rFonts w:hint="eastAsia" w:asciiTheme="minorEastAsia" w:hAnsiTheme="minorEastAsia" w:eastAsiaTheme="minorEastAsia" w:cstheme="minorEastAsia"/>
              <w:bCs/>
              <w:szCs w:val="32"/>
            </w:rPr>
            <w:fldChar w:fldCharType="separate"/>
          </w:r>
          <w:r>
            <w:rPr>
              <w:rFonts w:hint="eastAsia" w:ascii="宋体" w:hAnsi="宋体" w:cs="宋体"/>
              <w:bCs/>
              <w:kern w:val="2"/>
              <w:szCs w:val="32"/>
              <w:lang w:val="en-US" w:eastAsia="zh-CN" w:bidi="ar-SA"/>
            </w:rPr>
            <w:t>8</w:t>
          </w:r>
          <w:r>
            <w:rPr>
              <w:rFonts w:hint="eastAsia" w:ascii="宋体" w:hAnsi="宋体" w:eastAsia="宋体" w:cs="宋体"/>
              <w:bCs/>
              <w:kern w:val="2"/>
              <w:szCs w:val="32"/>
              <w:lang w:val="en-US" w:eastAsia="zh-CN" w:bidi="ar-SA"/>
            </w:rPr>
            <w:t xml:space="preserve"> 附件和附图</w:t>
          </w:r>
          <w:r>
            <w:tab/>
          </w:r>
          <w:r>
            <w:fldChar w:fldCharType="begin"/>
          </w:r>
          <w:r>
            <w:instrText xml:space="preserve"> PAGEREF _Toc32760 \h </w:instrText>
          </w:r>
          <w:r>
            <w:fldChar w:fldCharType="separate"/>
          </w:r>
          <w:r>
            <w:t>42</w:t>
          </w:r>
          <w:r>
            <w:fldChar w:fldCharType="end"/>
          </w:r>
          <w:r>
            <w:rPr>
              <w:rFonts w:hint="eastAsia" w:asciiTheme="minorEastAsia" w:hAnsiTheme="minorEastAsia" w:eastAsiaTheme="minorEastAsia" w:cstheme="minorEastAsia"/>
              <w:bCs/>
              <w:szCs w:val="32"/>
            </w:rPr>
            <w:fldChar w:fldCharType="end"/>
          </w:r>
        </w:p>
        <w:p w14:paraId="4B2923D2">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_Toc8052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szCs w:val="28"/>
            </w:rPr>
            <w:t>附件1：</w:t>
          </w:r>
          <w:r>
            <w:rPr>
              <w:rFonts w:hint="eastAsia" w:ascii="宋体" w:hAnsi="宋体" w:eastAsia="宋体" w:cs="宋体"/>
              <w:szCs w:val="28"/>
              <w:lang w:val="en-US" w:eastAsia="zh-CN"/>
            </w:rPr>
            <w:t>应急组织机构名单</w:t>
          </w:r>
          <w:r>
            <w:tab/>
          </w:r>
          <w:r>
            <w:fldChar w:fldCharType="begin"/>
          </w:r>
          <w:r>
            <w:instrText xml:space="preserve"> PAGEREF _Toc8052 \h </w:instrText>
          </w:r>
          <w:r>
            <w:fldChar w:fldCharType="separate"/>
          </w:r>
          <w:r>
            <w:t>43</w:t>
          </w:r>
          <w:r>
            <w:fldChar w:fldCharType="end"/>
          </w:r>
          <w:r>
            <w:rPr>
              <w:rFonts w:hint="eastAsia" w:asciiTheme="minorEastAsia" w:hAnsiTheme="minorEastAsia" w:eastAsiaTheme="minorEastAsia" w:cstheme="minorEastAsia"/>
              <w:bCs/>
              <w:szCs w:val="32"/>
            </w:rPr>
            <w:fldChar w:fldCharType="end"/>
          </w:r>
        </w:p>
        <w:p w14:paraId="0D7F1358">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_Toc7686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szCs w:val="28"/>
              <w:lang w:val="en-US" w:eastAsia="zh-CN"/>
            </w:rPr>
            <w:t>附件2：</w:t>
          </w:r>
          <w:r>
            <w:rPr>
              <w:rFonts w:hint="eastAsia" w:ascii="宋体" w:hAnsi="宋体" w:cs="宋体"/>
              <w:szCs w:val="28"/>
              <w:lang w:val="en-US" w:eastAsia="zh-CN"/>
            </w:rPr>
            <w:t>河堰镇</w:t>
          </w:r>
          <w:r>
            <w:rPr>
              <w:rFonts w:hint="eastAsia" w:ascii="宋体" w:hAnsi="宋体" w:eastAsia="宋体" w:cs="宋体"/>
              <w:szCs w:val="28"/>
              <w:lang w:val="en-US" w:eastAsia="zh-CN"/>
            </w:rPr>
            <w:t>突发环境事件应急物资清单</w:t>
          </w:r>
          <w:r>
            <w:tab/>
          </w:r>
          <w:r>
            <w:fldChar w:fldCharType="begin"/>
          </w:r>
          <w:r>
            <w:instrText xml:space="preserve"> PAGEREF _Toc7686 \h </w:instrText>
          </w:r>
          <w:r>
            <w:fldChar w:fldCharType="separate"/>
          </w:r>
          <w:r>
            <w:t>44</w:t>
          </w:r>
          <w:r>
            <w:fldChar w:fldCharType="end"/>
          </w:r>
          <w:r>
            <w:rPr>
              <w:rFonts w:hint="eastAsia" w:asciiTheme="minorEastAsia" w:hAnsiTheme="minorEastAsia" w:eastAsiaTheme="minorEastAsia" w:cstheme="minorEastAsia"/>
              <w:bCs/>
              <w:szCs w:val="32"/>
            </w:rPr>
            <w:fldChar w:fldCharType="end"/>
          </w:r>
        </w:p>
        <w:p w14:paraId="3FD38AC6">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_Toc18354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szCs w:val="28"/>
              <w:lang w:val="en-US" w:eastAsia="zh-CN"/>
            </w:rPr>
            <w:t>附件3：开州区应急物资储备情况</w:t>
          </w:r>
          <w:r>
            <w:tab/>
          </w:r>
          <w:r>
            <w:fldChar w:fldCharType="begin"/>
          </w:r>
          <w:r>
            <w:instrText xml:space="preserve"> PAGEREF _Toc18354 \h </w:instrText>
          </w:r>
          <w:r>
            <w:fldChar w:fldCharType="separate"/>
          </w:r>
          <w:r>
            <w:t>45</w:t>
          </w:r>
          <w:r>
            <w:fldChar w:fldCharType="end"/>
          </w:r>
          <w:r>
            <w:rPr>
              <w:rFonts w:hint="eastAsia" w:asciiTheme="minorEastAsia" w:hAnsiTheme="minorEastAsia" w:eastAsiaTheme="minorEastAsia" w:cstheme="minorEastAsia"/>
              <w:bCs/>
              <w:szCs w:val="32"/>
            </w:rPr>
            <w:fldChar w:fldCharType="end"/>
          </w:r>
        </w:p>
        <w:p w14:paraId="2DA4A05F">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_Toc25909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szCs w:val="28"/>
              <w:lang w:val="en-US" w:eastAsia="zh-CN"/>
            </w:rPr>
            <w:t>附图1  开州区行政区划图</w:t>
          </w:r>
          <w:r>
            <w:tab/>
          </w:r>
          <w:r>
            <w:fldChar w:fldCharType="begin"/>
          </w:r>
          <w:r>
            <w:instrText xml:space="preserve"> PAGEREF _Toc25909 \h </w:instrText>
          </w:r>
          <w:r>
            <w:fldChar w:fldCharType="separate"/>
          </w:r>
          <w:r>
            <w:t>48</w:t>
          </w:r>
          <w:r>
            <w:fldChar w:fldCharType="end"/>
          </w:r>
          <w:r>
            <w:rPr>
              <w:rFonts w:hint="eastAsia" w:asciiTheme="minorEastAsia" w:hAnsiTheme="minorEastAsia" w:eastAsiaTheme="minorEastAsia" w:cstheme="minorEastAsia"/>
              <w:bCs/>
              <w:szCs w:val="32"/>
            </w:rPr>
            <w:fldChar w:fldCharType="end"/>
          </w:r>
        </w:p>
        <w:p w14:paraId="3648EF9A">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_Toc23815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szCs w:val="28"/>
              <w:lang w:val="en-US" w:eastAsia="zh-CN"/>
            </w:rPr>
            <w:t>附图2  开州区水系图</w:t>
          </w:r>
          <w:r>
            <w:tab/>
          </w:r>
          <w:r>
            <w:fldChar w:fldCharType="begin"/>
          </w:r>
          <w:r>
            <w:instrText xml:space="preserve"> PAGEREF _Toc23815 \h </w:instrText>
          </w:r>
          <w:r>
            <w:fldChar w:fldCharType="separate"/>
          </w:r>
          <w:r>
            <w:t>49</w:t>
          </w:r>
          <w:r>
            <w:fldChar w:fldCharType="end"/>
          </w:r>
          <w:r>
            <w:rPr>
              <w:rFonts w:hint="eastAsia" w:asciiTheme="minorEastAsia" w:hAnsiTheme="minorEastAsia" w:eastAsiaTheme="minorEastAsia" w:cstheme="minorEastAsia"/>
              <w:bCs/>
              <w:szCs w:val="32"/>
            </w:rPr>
            <w:fldChar w:fldCharType="end"/>
          </w:r>
        </w:p>
        <w:p w14:paraId="7E563635">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_Toc25779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szCs w:val="28"/>
              <w:lang w:val="en-US" w:eastAsia="zh-CN"/>
            </w:rPr>
            <w:t xml:space="preserve">附图3-1  </w:t>
          </w:r>
          <w:r>
            <w:rPr>
              <w:rFonts w:hint="eastAsia" w:ascii="宋体" w:hAnsi="宋体" w:cs="宋体"/>
              <w:szCs w:val="28"/>
              <w:lang w:val="en-US" w:eastAsia="zh-CN"/>
            </w:rPr>
            <w:t>开州区河堰镇双龙洞地下水河堰供水站水源地</w:t>
          </w:r>
          <w:r>
            <w:rPr>
              <w:rFonts w:hint="eastAsia" w:ascii="宋体" w:hAnsi="宋体" w:eastAsia="宋体" w:cs="宋体"/>
              <w:szCs w:val="28"/>
              <w:lang w:val="en-US" w:eastAsia="zh-CN"/>
            </w:rPr>
            <w:t>地理位置图</w:t>
          </w:r>
          <w:r>
            <w:tab/>
          </w:r>
          <w:r>
            <w:fldChar w:fldCharType="begin"/>
          </w:r>
          <w:r>
            <w:instrText xml:space="preserve"> PAGEREF _Toc25779 \h </w:instrText>
          </w:r>
          <w:r>
            <w:fldChar w:fldCharType="separate"/>
          </w:r>
          <w:r>
            <w:t>50</w:t>
          </w:r>
          <w:r>
            <w:fldChar w:fldCharType="end"/>
          </w:r>
          <w:r>
            <w:rPr>
              <w:rFonts w:hint="eastAsia" w:asciiTheme="minorEastAsia" w:hAnsiTheme="minorEastAsia" w:eastAsiaTheme="minorEastAsia" w:cstheme="minorEastAsia"/>
              <w:bCs/>
              <w:szCs w:val="32"/>
            </w:rPr>
            <w:fldChar w:fldCharType="end"/>
          </w:r>
        </w:p>
        <w:p w14:paraId="172CC09F">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_Toc8124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bCs/>
              <w:w w:val="90"/>
              <w:szCs w:val="28"/>
              <w:lang w:val="en-US" w:eastAsia="zh-CN"/>
            </w:rPr>
            <w:t>附图3-2  开州区</w:t>
          </w:r>
          <w:r>
            <w:rPr>
              <w:rFonts w:hint="eastAsia" w:ascii="宋体" w:hAnsi="宋体" w:cs="宋体"/>
              <w:bCs/>
              <w:w w:val="90"/>
              <w:szCs w:val="28"/>
              <w:lang w:val="en-US" w:eastAsia="zh-CN"/>
            </w:rPr>
            <w:t>河堰镇</w:t>
          </w:r>
          <w:r>
            <w:rPr>
              <w:rFonts w:hint="eastAsia" w:ascii="宋体" w:hAnsi="宋体" w:eastAsia="宋体" w:cs="宋体"/>
              <w:bCs/>
              <w:w w:val="90"/>
              <w:szCs w:val="28"/>
              <w:lang w:val="en-US" w:eastAsia="zh-CN"/>
            </w:rPr>
            <w:t>东河温泉场镇集中供水工程水源地地理位置图</w:t>
          </w:r>
          <w:r>
            <w:tab/>
          </w:r>
          <w:r>
            <w:fldChar w:fldCharType="begin"/>
          </w:r>
          <w:r>
            <w:instrText xml:space="preserve"> PAGEREF _Toc8124 \h </w:instrText>
          </w:r>
          <w:r>
            <w:fldChar w:fldCharType="separate"/>
          </w:r>
          <w:r>
            <w:t>51</w:t>
          </w:r>
          <w:r>
            <w:fldChar w:fldCharType="end"/>
          </w:r>
          <w:r>
            <w:rPr>
              <w:rFonts w:hint="eastAsia" w:asciiTheme="minorEastAsia" w:hAnsiTheme="minorEastAsia" w:eastAsiaTheme="minorEastAsia" w:cstheme="minorEastAsia"/>
              <w:bCs/>
              <w:szCs w:val="32"/>
            </w:rPr>
            <w:fldChar w:fldCharType="end"/>
          </w:r>
        </w:p>
        <w:p w14:paraId="688CD582">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_Toc23083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szCs w:val="28"/>
              <w:lang w:val="en-US" w:eastAsia="zh-CN"/>
            </w:rPr>
            <w:t xml:space="preserve">附图4-1  </w:t>
          </w:r>
          <w:r>
            <w:rPr>
              <w:rFonts w:hint="eastAsia" w:ascii="宋体" w:hAnsi="宋体" w:cs="宋体"/>
              <w:szCs w:val="28"/>
              <w:lang w:val="en-US" w:eastAsia="zh-CN"/>
            </w:rPr>
            <w:t>开州区河堰镇双龙洞地下水河堰供水站水源地</w:t>
          </w:r>
          <w:r>
            <w:rPr>
              <w:rFonts w:hint="eastAsia" w:ascii="宋体" w:hAnsi="宋体" w:eastAsia="宋体" w:cs="宋体"/>
              <w:szCs w:val="28"/>
              <w:lang w:val="en-US" w:eastAsia="zh-CN"/>
            </w:rPr>
            <w:t>及固定、移动风险源分布图</w:t>
          </w:r>
          <w:r>
            <w:tab/>
          </w:r>
          <w:r>
            <w:fldChar w:fldCharType="begin"/>
          </w:r>
          <w:r>
            <w:instrText xml:space="preserve"> PAGEREF _Toc23083 \h </w:instrText>
          </w:r>
          <w:r>
            <w:fldChar w:fldCharType="separate"/>
          </w:r>
          <w:r>
            <w:t>52</w:t>
          </w:r>
          <w:r>
            <w:fldChar w:fldCharType="end"/>
          </w:r>
          <w:r>
            <w:rPr>
              <w:rFonts w:hint="eastAsia" w:asciiTheme="minorEastAsia" w:hAnsiTheme="minorEastAsia" w:eastAsiaTheme="minorEastAsia" w:cstheme="minorEastAsia"/>
              <w:bCs/>
              <w:szCs w:val="32"/>
            </w:rPr>
            <w:fldChar w:fldCharType="end"/>
          </w:r>
        </w:p>
        <w:p w14:paraId="7D1A5FF2">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_Toc816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szCs w:val="28"/>
              <w:lang w:val="en-US" w:eastAsia="zh-CN"/>
            </w:rPr>
            <w:t>附图4-2  开州区</w:t>
          </w:r>
          <w:r>
            <w:rPr>
              <w:rFonts w:hint="eastAsia" w:ascii="宋体" w:hAnsi="宋体" w:cs="宋体"/>
              <w:szCs w:val="28"/>
              <w:lang w:val="en-US" w:eastAsia="zh-CN"/>
            </w:rPr>
            <w:t>河堰镇</w:t>
          </w:r>
          <w:r>
            <w:rPr>
              <w:rFonts w:hint="eastAsia" w:ascii="宋体" w:hAnsi="宋体" w:eastAsia="宋体" w:cs="宋体"/>
              <w:szCs w:val="28"/>
              <w:lang w:val="en-US" w:eastAsia="zh-CN"/>
            </w:rPr>
            <w:t>东河温泉场镇集中供水工程水源地及固定、移动风险源分布图</w:t>
          </w:r>
          <w:r>
            <w:tab/>
          </w:r>
          <w:r>
            <w:fldChar w:fldCharType="begin"/>
          </w:r>
          <w:r>
            <w:instrText xml:space="preserve"> PAGEREF _Toc816 \h </w:instrText>
          </w:r>
          <w:r>
            <w:fldChar w:fldCharType="separate"/>
          </w:r>
          <w:r>
            <w:t>52</w:t>
          </w:r>
          <w:r>
            <w:fldChar w:fldCharType="end"/>
          </w:r>
          <w:r>
            <w:rPr>
              <w:rFonts w:hint="eastAsia" w:asciiTheme="minorEastAsia" w:hAnsiTheme="minorEastAsia" w:eastAsiaTheme="minorEastAsia" w:cstheme="minorEastAsia"/>
              <w:bCs/>
              <w:szCs w:val="32"/>
            </w:rPr>
            <w:fldChar w:fldCharType="end"/>
          </w:r>
        </w:p>
        <w:p w14:paraId="14BA0DA8">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_Toc28250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szCs w:val="28"/>
              <w:lang w:val="en-US" w:eastAsia="zh-CN"/>
            </w:rPr>
            <w:t>附图5 突发环境事件应急物资分布图</w:t>
          </w:r>
          <w:r>
            <w:tab/>
          </w:r>
          <w:r>
            <w:fldChar w:fldCharType="begin"/>
          </w:r>
          <w:r>
            <w:instrText xml:space="preserve"> PAGEREF _Toc28250 \h </w:instrText>
          </w:r>
          <w:r>
            <w:fldChar w:fldCharType="separate"/>
          </w:r>
          <w:r>
            <w:t>53</w:t>
          </w:r>
          <w:r>
            <w:fldChar w:fldCharType="end"/>
          </w:r>
          <w:r>
            <w:rPr>
              <w:rFonts w:hint="eastAsia" w:asciiTheme="minorEastAsia" w:hAnsiTheme="minorEastAsia" w:eastAsiaTheme="minorEastAsia" w:cstheme="minorEastAsia"/>
              <w:bCs/>
              <w:szCs w:val="32"/>
            </w:rPr>
            <w:fldChar w:fldCharType="end"/>
          </w:r>
        </w:p>
        <w:p w14:paraId="66F7561D">
          <w:pPr>
            <w:pStyle w:val="13"/>
            <w:tabs>
              <w:tab w:val="right" w:leader="dot" w:pos="9026"/>
            </w:tabs>
          </w:pPr>
          <w:r>
            <w:rPr>
              <w:rFonts w:hint="eastAsia" w:asciiTheme="minorEastAsia" w:hAnsiTheme="minorEastAsia" w:eastAsiaTheme="minorEastAsia" w:cstheme="minorEastAsia"/>
              <w:bCs/>
              <w:szCs w:val="32"/>
            </w:rPr>
            <w:fldChar w:fldCharType="begin"/>
          </w:r>
          <w:r>
            <w:rPr>
              <w:rFonts w:hint="eastAsia" w:asciiTheme="minorEastAsia" w:hAnsiTheme="minorEastAsia" w:eastAsiaTheme="minorEastAsia" w:cstheme="minorEastAsia"/>
              <w:bCs/>
              <w:szCs w:val="32"/>
            </w:rPr>
            <w:instrText xml:space="preserve"> HYPERLINK \l _Toc27805 </w:instrText>
          </w:r>
          <w:r>
            <w:rPr>
              <w:rFonts w:hint="eastAsia" w:asciiTheme="minorEastAsia" w:hAnsiTheme="minorEastAsia" w:eastAsiaTheme="minorEastAsia" w:cstheme="minorEastAsia"/>
              <w:bCs/>
              <w:szCs w:val="32"/>
            </w:rPr>
            <w:fldChar w:fldCharType="separate"/>
          </w:r>
          <w:r>
            <w:rPr>
              <w:rFonts w:hint="eastAsia" w:ascii="宋体" w:hAnsi="宋体" w:eastAsia="宋体" w:cs="宋体"/>
              <w:szCs w:val="28"/>
              <w:lang w:val="en-US" w:eastAsia="zh-CN"/>
            </w:rPr>
            <w:t>附图6 饮用水源地监测点位分布图</w:t>
          </w:r>
          <w:r>
            <w:tab/>
          </w:r>
          <w:r>
            <w:fldChar w:fldCharType="begin"/>
          </w:r>
          <w:r>
            <w:instrText xml:space="preserve"> PAGEREF _Toc27805 \h </w:instrText>
          </w:r>
          <w:r>
            <w:fldChar w:fldCharType="separate"/>
          </w:r>
          <w:r>
            <w:t>54</w:t>
          </w:r>
          <w:r>
            <w:fldChar w:fldCharType="end"/>
          </w:r>
          <w:r>
            <w:rPr>
              <w:rFonts w:hint="eastAsia" w:asciiTheme="minorEastAsia" w:hAnsiTheme="minorEastAsia" w:eastAsiaTheme="minorEastAsia" w:cstheme="minorEastAsia"/>
              <w:bCs/>
              <w:szCs w:val="32"/>
            </w:rPr>
            <w:fldChar w:fldCharType="end"/>
          </w:r>
        </w:p>
        <w:p w14:paraId="45CF907B">
          <w:pPr>
            <w:pStyle w:val="7"/>
            <w:pageBreakBefore w:val="0"/>
            <w:widowControl w:val="0"/>
            <w:kinsoku/>
            <w:wordWrap/>
            <w:overflowPunct/>
            <w:topLinePunct w:val="0"/>
            <w:autoSpaceDE/>
            <w:autoSpaceDN/>
            <w:bidi w:val="0"/>
            <w:adjustRightInd/>
            <w:snapToGrid/>
            <w:spacing w:line="360" w:lineRule="auto"/>
            <w:ind w:left="0" w:leftChars="0"/>
            <w:jc w:val="center"/>
            <w:textAlignment w:val="auto"/>
            <w:outlineLvl w:val="9"/>
            <w:rPr>
              <w:rFonts w:hint="eastAsia" w:asciiTheme="minorEastAsia" w:hAnsiTheme="minorEastAsia" w:eastAsiaTheme="minorEastAsia" w:cstheme="minorEastAsia"/>
              <w:b/>
              <w:bCs/>
              <w:kern w:val="2"/>
              <w:sz w:val="32"/>
              <w:szCs w:val="32"/>
              <w:lang w:val="zh-CN" w:eastAsia="zh-CN" w:bidi="zh-CN"/>
            </w:rPr>
          </w:pPr>
          <w:r>
            <w:rPr>
              <w:rFonts w:hint="eastAsia" w:asciiTheme="minorEastAsia" w:hAnsiTheme="minorEastAsia" w:eastAsiaTheme="minorEastAsia" w:cstheme="minorEastAsia"/>
              <w:bCs/>
              <w:szCs w:val="32"/>
            </w:rPr>
            <w:fldChar w:fldCharType="end"/>
          </w:r>
        </w:p>
      </w:sdtContent>
    </w:sdt>
    <w:p w14:paraId="54539CB1">
      <w:pPr>
        <w:pStyle w:val="7"/>
        <w:pageBreakBefore w:val="0"/>
        <w:widowControl w:val="0"/>
        <w:kinsoku/>
        <w:wordWrap/>
        <w:overflowPunct/>
        <w:topLinePunct w:val="0"/>
        <w:autoSpaceDE/>
        <w:autoSpaceDN/>
        <w:bidi w:val="0"/>
        <w:adjustRightInd/>
        <w:snapToGrid/>
        <w:spacing w:line="360" w:lineRule="auto"/>
        <w:ind w:left="0" w:leftChars="0"/>
        <w:jc w:val="center"/>
        <w:textAlignment w:val="auto"/>
        <w:outlineLvl w:val="9"/>
        <w:rPr>
          <w:rFonts w:hint="eastAsia" w:asciiTheme="minorEastAsia" w:hAnsiTheme="minorEastAsia" w:eastAsiaTheme="minorEastAsia" w:cstheme="minorEastAsia"/>
          <w:b/>
          <w:bCs/>
          <w:kern w:val="2"/>
          <w:sz w:val="32"/>
          <w:szCs w:val="32"/>
          <w:lang w:val="zh-CN" w:eastAsia="zh-CN" w:bidi="zh-CN"/>
        </w:rPr>
        <w:sectPr>
          <w:footerReference r:id="rId6" w:type="first"/>
          <w:headerReference r:id="rId3" w:type="default"/>
          <w:footerReference r:id="rId4" w:type="default"/>
          <w:footerReference r:id="rId5" w:type="even"/>
          <w:pgSz w:w="11906" w:h="16838"/>
          <w:pgMar w:top="1440" w:right="1440" w:bottom="1440" w:left="1440" w:header="1134" w:footer="992" w:gutter="0"/>
          <w:pgBorders>
            <w:top w:val="none" w:sz="0" w:space="0"/>
            <w:left w:val="none" w:sz="0" w:space="0"/>
            <w:bottom w:val="none" w:sz="0" w:space="0"/>
            <w:right w:val="none" w:sz="0" w:space="0"/>
          </w:pgBorders>
          <w:pgNumType w:fmt="decimal" w:start="1"/>
          <w:cols w:space="720" w:num="1"/>
          <w:docGrid w:type="lines" w:linePitch="318" w:charSpace="0"/>
        </w:sectPr>
      </w:pPr>
    </w:p>
    <w:p w14:paraId="231F5401">
      <w:pPr>
        <w:pStyle w:val="14"/>
        <w:keepNext w:val="0"/>
        <w:keepLines w:val="0"/>
        <w:pageBreakBefore w:val="0"/>
        <w:widowControl/>
        <w:kinsoku/>
        <w:wordWrap/>
        <w:overflowPunct/>
        <w:topLinePunct w:val="0"/>
        <w:autoSpaceDE/>
        <w:autoSpaceDN/>
        <w:bidi w:val="0"/>
        <w:adjustRightInd w:val="0"/>
        <w:snapToGrid/>
        <w:spacing w:beforeAutospacing="0" w:line="360" w:lineRule="auto"/>
        <w:ind w:firstLine="0" w:firstLineChars="0"/>
        <w:jc w:val="center"/>
        <w:textAlignment w:val="auto"/>
        <w:outlineLvl w:val="0"/>
        <w:rPr>
          <w:rStyle w:val="18"/>
          <w:rFonts w:hint="eastAsia" w:ascii="宋体" w:hAnsi="宋体" w:eastAsia="宋体" w:cs="宋体"/>
          <w:b/>
          <w:bCs/>
          <w:color w:val="000000"/>
          <w:sz w:val="32"/>
          <w:szCs w:val="32"/>
          <w:lang w:val="en-US" w:eastAsia="zh-CN"/>
        </w:rPr>
      </w:pPr>
      <w:bookmarkStart w:id="0" w:name="_Toc29996"/>
      <w:bookmarkStart w:id="1" w:name="_Toc4877"/>
      <w:r>
        <w:rPr>
          <w:rStyle w:val="18"/>
          <w:rFonts w:hint="eastAsia" w:ascii="宋体" w:hAnsi="宋体" w:eastAsia="宋体" w:cs="宋体"/>
          <w:b/>
          <w:bCs/>
          <w:color w:val="000000"/>
          <w:sz w:val="32"/>
          <w:szCs w:val="32"/>
          <w:lang w:val="en-US" w:eastAsia="zh-CN"/>
        </w:rPr>
        <w:t>1总则</w:t>
      </w:r>
      <w:bookmarkEnd w:id="0"/>
      <w:bookmarkEnd w:id="1"/>
    </w:p>
    <w:p w14:paraId="2FDD4913">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rPr>
      </w:pPr>
      <w:bookmarkStart w:id="2" w:name="_Toc288137727"/>
      <w:bookmarkStart w:id="3" w:name="_Toc30123"/>
      <w:bookmarkStart w:id="4" w:name="_Toc26600"/>
      <w:r>
        <w:rPr>
          <w:rFonts w:hint="eastAsia" w:ascii="宋体" w:hAnsi="宋体" w:eastAsia="宋体" w:cs="宋体"/>
          <w:b/>
          <w:bCs/>
          <w:color w:val="000000"/>
          <w:sz w:val="28"/>
          <w:szCs w:val="28"/>
        </w:rPr>
        <w:t>1.1</w:t>
      </w:r>
      <w:bookmarkEnd w:id="2"/>
      <w:r>
        <w:rPr>
          <w:rFonts w:hint="eastAsia" w:ascii="宋体" w:hAnsi="宋体" w:cs="宋体"/>
          <w:b/>
          <w:bCs/>
          <w:color w:val="000000"/>
          <w:sz w:val="28"/>
          <w:szCs w:val="28"/>
          <w:lang w:val="en-US" w:eastAsia="zh-CN"/>
        </w:rPr>
        <w:t xml:space="preserve"> </w:t>
      </w:r>
      <w:r>
        <w:rPr>
          <w:rFonts w:hint="eastAsia" w:ascii="宋体" w:hAnsi="宋体" w:eastAsia="宋体" w:cs="宋体"/>
          <w:b/>
          <w:bCs/>
          <w:color w:val="000000"/>
          <w:sz w:val="28"/>
          <w:szCs w:val="28"/>
        </w:rPr>
        <w:t>编制目的</w:t>
      </w:r>
      <w:bookmarkEnd w:id="3"/>
      <w:bookmarkEnd w:id="4"/>
    </w:p>
    <w:p w14:paraId="2638DC2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为建立健全水环境污染事件应急机制，有效预防和减少突发环境事件的发生，快速、科学地进行突发环境事件的应急处置，全面提高应对</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突发环境事件的能力，有效应对</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（以下简称水源地）突发环境事件，最大程度降低突发环境事件对水源地水质影响，规范水源地突发环境事件应对的各项工作，特制定本预案。并为开州区生态环境局及相关部门制定应急预案提供支撑。</w:t>
      </w:r>
    </w:p>
    <w:p w14:paraId="5E46F5B8">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rPr>
      </w:pPr>
      <w:bookmarkStart w:id="5" w:name="_Toc288137728"/>
      <w:bookmarkStart w:id="6" w:name="_Toc12629"/>
      <w:bookmarkStart w:id="7" w:name="_Toc12859"/>
      <w:r>
        <w:rPr>
          <w:rFonts w:hint="eastAsia" w:ascii="宋体" w:hAnsi="宋体" w:eastAsia="宋体" w:cs="宋体"/>
          <w:b/>
          <w:bCs/>
          <w:color w:val="000000"/>
          <w:sz w:val="28"/>
          <w:szCs w:val="28"/>
        </w:rPr>
        <w:t>1.2</w:t>
      </w:r>
      <w:bookmarkEnd w:id="5"/>
      <w:r>
        <w:rPr>
          <w:rFonts w:hint="eastAsia" w:ascii="宋体" w:hAnsi="宋体" w:eastAsia="宋体" w:cs="宋体"/>
          <w:b/>
          <w:bCs/>
          <w:color w:val="000000"/>
          <w:sz w:val="28"/>
          <w:szCs w:val="28"/>
          <w:lang w:val="en-US" w:eastAsia="zh-CN"/>
        </w:rPr>
        <w:t xml:space="preserve"> </w:t>
      </w:r>
      <w:r>
        <w:rPr>
          <w:rFonts w:hint="eastAsia" w:ascii="宋体" w:hAnsi="宋体" w:eastAsia="宋体" w:cs="宋体"/>
          <w:b/>
          <w:bCs/>
          <w:color w:val="000000"/>
          <w:sz w:val="28"/>
          <w:szCs w:val="28"/>
        </w:rPr>
        <w:t>适用范围</w:t>
      </w:r>
      <w:bookmarkEnd w:id="6"/>
      <w:bookmarkEnd w:id="7"/>
    </w:p>
    <w:p w14:paraId="0EB9974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本预案适用于</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保护区内环境污染、破坏事件、输水管道、自然灾</w:t>
      </w:r>
      <w:r>
        <w:rPr>
          <w:rFonts w:hint="eastAsia" w:cs="宋体"/>
          <w:color w:val="auto"/>
          <w:sz w:val="28"/>
          <w:szCs w:val="28"/>
          <w:lang w:val="en-US" w:eastAsia="zh-CN"/>
        </w:rPr>
        <w:t>害等</w:t>
      </w:r>
      <w:r>
        <w:rPr>
          <w:rFonts w:hint="eastAsia" w:ascii="宋体" w:hAnsi="宋体" w:eastAsia="宋体" w:cs="宋体"/>
          <w:color w:val="auto"/>
          <w:sz w:val="28"/>
          <w:szCs w:val="28"/>
          <w:lang w:val="en-US" w:eastAsia="zh-CN"/>
        </w:rPr>
        <w:t>造成的危及人体健康的环境事件及其他影响</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水质的</w:t>
      </w:r>
      <w:r>
        <w:rPr>
          <w:rFonts w:hint="eastAsia" w:cs="宋体"/>
          <w:color w:val="auto"/>
          <w:sz w:val="28"/>
          <w:szCs w:val="28"/>
          <w:lang w:val="en-US" w:eastAsia="zh-CN"/>
        </w:rPr>
        <w:t>其他</w:t>
      </w:r>
      <w:r>
        <w:rPr>
          <w:rFonts w:hint="eastAsia" w:ascii="宋体" w:hAnsi="宋体" w:eastAsia="宋体" w:cs="宋体"/>
          <w:color w:val="auto"/>
          <w:sz w:val="28"/>
          <w:szCs w:val="28"/>
          <w:lang w:val="en-US" w:eastAsia="zh-CN"/>
        </w:rPr>
        <w:t>严重污染事件等重污染事件。</w:t>
      </w:r>
    </w:p>
    <w:p w14:paraId="1432F8B0">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rPr>
      </w:pPr>
      <w:bookmarkStart w:id="8" w:name="_Toc29315"/>
      <w:bookmarkStart w:id="9" w:name="_Toc23957"/>
      <w:r>
        <w:rPr>
          <w:rFonts w:hint="eastAsia" w:ascii="宋体" w:hAnsi="宋体" w:eastAsia="宋体" w:cs="宋体"/>
          <w:b/>
          <w:bCs/>
          <w:color w:val="000000"/>
          <w:sz w:val="28"/>
          <w:szCs w:val="28"/>
        </w:rPr>
        <w:t>1.3</w:t>
      </w:r>
      <w:r>
        <w:rPr>
          <w:rFonts w:hint="eastAsia" w:ascii="宋体" w:hAnsi="宋体" w:eastAsia="宋体" w:cs="宋体"/>
          <w:b/>
          <w:bCs/>
          <w:color w:val="000000"/>
          <w:sz w:val="28"/>
          <w:szCs w:val="28"/>
          <w:lang w:val="en-US" w:eastAsia="zh-CN"/>
        </w:rPr>
        <w:t xml:space="preserve"> </w:t>
      </w:r>
      <w:r>
        <w:rPr>
          <w:rFonts w:hint="eastAsia" w:ascii="宋体" w:hAnsi="宋体" w:eastAsia="宋体" w:cs="宋体"/>
          <w:b/>
          <w:bCs/>
          <w:color w:val="000000"/>
          <w:sz w:val="28"/>
          <w:szCs w:val="28"/>
        </w:rPr>
        <w:t>编制依据</w:t>
      </w:r>
      <w:bookmarkEnd w:id="8"/>
      <w:bookmarkEnd w:id="9"/>
    </w:p>
    <w:p w14:paraId="053097A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snapToGrid/>
          <w:kern w:val="2"/>
          <w:sz w:val="28"/>
          <w:szCs w:val="28"/>
          <w:lang w:val="en-US" w:eastAsia="zh-CN"/>
        </w:rPr>
      </w:pPr>
      <w:r>
        <w:rPr>
          <w:rFonts w:hint="eastAsia" w:ascii="宋体" w:hAnsi="宋体" w:eastAsia="宋体" w:cs="宋体"/>
          <w:snapToGrid/>
          <w:kern w:val="2"/>
          <w:sz w:val="28"/>
          <w:szCs w:val="28"/>
          <w:lang w:val="en-US" w:eastAsia="zh-CN"/>
        </w:rPr>
        <w:t>《中华人民共和国生态环境法典》（2026年8月15日施行）</w:t>
      </w:r>
    </w:p>
    <w:p w14:paraId="72EB6B1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《中华人民共和国突发事件应对法》</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主席令第25号，2024</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w:t>
      </w:r>
    </w:p>
    <w:p w14:paraId="1C1F991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《国家突发环境事件应急预案》（国办函〔2014〕119号）；</w:t>
      </w:r>
    </w:p>
    <w:p w14:paraId="643B66D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《国务院关于加强环境保护重点工作的意见》（国发〔2011〕35号）；</w:t>
      </w:r>
    </w:p>
    <w:p w14:paraId="76C17E6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《突发事件应急预案管理办法》（国办发〔20</w:t>
      </w:r>
      <w:r>
        <w:rPr>
          <w:rFonts w:hint="eastAsia" w:cs="宋体"/>
          <w:color w:val="auto"/>
          <w:sz w:val="28"/>
          <w:szCs w:val="28"/>
          <w:lang w:val="en-US" w:eastAsia="zh-CN"/>
        </w:rPr>
        <w:t>25</w:t>
      </w:r>
      <w:r>
        <w:rPr>
          <w:rFonts w:hint="eastAsia" w:ascii="宋体" w:hAnsi="宋体" w:eastAsia="宋体" w:cs="宋体"/>
          <w:color w:val="auto"/>
          <w:sz w:val="28"/>
          <w:szCs w:val="28"/>
          <w:lang w:val="en-US" w:eastAsia="zh-CN"/>
        </w:rPr>
        <w:t>〕</w:t>
      </w:r>
      <w:r>
        <w:rPr>
          <w:rFonts w:hint="eastAsia" w:cs="宋体"/>
          <w:color w:val="auto"/>
          <w:sz w:val="28"/>
          <w:szCs w:val="28"/>
          <w:lang w:val="en-US" w:eastAsia="zh-CN"/>
        </w:rPr>
        <w:t>5</w:t>
      </w:r>
      <w:r>
        <w:rPr>
          <w:rFonts w:hint="eastAsia" w:ascii="宋体" w:hAnsi="宋体" w:eastAsia="宋体" w:cs="宋体"/>
          <w:color w:val="auto"/>
          <w:sz w:val="28"/>
          <w:szCs w:val="28"/>
          <w:lang w:val="en-US" w:eastAsia="zh-CN"/>
        </w:rPr>
        <w:t>号）；</w:t>
      </w:r>
    </w:p>
    <w:p w14:paraId="5DB3E8BC">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《企业事业单位突发环境事件应急预案备案管理办法（试行）》（环发〔2015〕4号）；</w:t>
      </w:r>
    </w:p>
    <w:p w14:paraId="7704DBC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《企业突发环境事件隐患排查和治理工作指南（试行）》（环境保护部公告2016年第74号）；</w:t>
      </w:r>
    </w:p>
    <w:p w14:paraId="79CEB024">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《突发环境事件应急监测技术规范》（HJ 589-2010）；</w:t>
      </w:r>
    </w:p>
    <w:p w14:paraId="3E79326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《突发环境事件信息报告办法》（环境保护部令第17号，2011）；</w:t>
      </w:r>
    </w:p>
    <w:p w14:paraId="301F595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《城市供水条例》（中华人民共和国国务院令第158号，1994）；</w:t>
      </w:r>
    </w:p>
    <w:p w14:paraId="108D01A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《城市供水水质管理规定》（中华人民共和国建设部令第156号，2006）；</w:t>
      </w:r>
    </w:p>
    <w:p w14:paraId="0B4360F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《生活饮用水卫生监督管理办法》（中华人民共和国城乡建设部、卫生计生委令第31号，2016）；</w:t>
      </w:r>
    </w:p>
    <w:p w14:paraId="69B30D2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《重庆市环境保护管理条例》（2018年修订）；</w:t>
      </w:r>
    </w:p>
    <w:p w14:paraId="0594B51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《重庆市长江三峡库区流域水污染防治条例》（重庆市人大常委会公告〔2011〕26号）；</w:t>
      </w:r>
    </w:p>
    <w:p w14:paraId="7085C23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《重庆市饮用水源污染防治办法》（重庆市人民政府令第159号，2003）；</w:t>
      </w:r>
    </w:p>
    <w:p w14:paraId="2116DAB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《重庆市城市供水节水管理条例》（重庆市人大常委会公告〔1999〕111号，2012年11月29日修订）；</w:t>
      </w:r>
    </w:p>
    <w:p w14:paraId="053E076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《重庆市村镇供水条例》重庆市人民代表大会常务委员会公告〔2016〕第55号</w:t>
      </w:r>
    </w:p>
    <w:p w14:paraId="52BB3D5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《重庆市突发事件应对条例》（重庆市人大常委会公告〔2012〕9号）；</w:t>
      </w:r>
    </w:p>
    <w:p w14:paraId="066790F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《重庆市人民政府突发公共事件总体应急预案》（2007）；</w:t>
      </w:r>
    </w:p>
    <w:p w14:paraId="7DEE75D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《重庆市人民政府办公厅关于调整万州区等31个区县（自治县）集中式饮用水源保护区的通知》</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府办[2013]40号</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w:t>
      </w:r>
    </w:p>
    <w:p w14:paraId="14E7412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《重庆市政府办公厅关于调整万州区等36个区县（自治县）集中式饮用水水源保护区调整方案》（渝府办[2016]19号）；</w:t>
      </w:r>
    </w:p>
    <w:p w14:paraId="5B7AAB5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《重庆市人民政府办公厅关于印发万州区等区县</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开发区</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集中式饮用水源地保护区划分及调整方案的通知》（渝府办[2018]7号）；</w:t>
      </w:r>
    </w:p>
    <w:p w14:paraId="4D4F3284">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《突发环境事件应急预案管理暂行办法》（2010）113号印发；</w:t>
      </w:r>
    </w:p>
    <w:p w14:paraId="3B7467B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《重庆市三峡库区流域水环境突发事件应急预案》；</w:t>
      </w:r>
      <w:bookmarkStart w:id="10" w:name="OLE_LINK10"/>
    </w:p>
    <w:p w14:paraId="62FA902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w:t>
      </w:r>
      <w:bookmarkEnd w:id="10"/>
      <w:r>
        <w:rPr>
          <w:rFonts w:hint="eastAsia" w:ascii="宋体" w:hAnsi="宋体" w:eastAsia="宋体" w:cs="宋体"/>
          <w:color w:val="auto"/>
          <w:sz w:val="28"/>
          <w:szCs w:val="28"/>
          <w:lang w:val="en-US" w:eastAsia="zh-CN"/>
        </w:rPr>
        <w:t>开州区突发环境事件应急预案》；</w:t>
      </w:r>
    </w:p>
    <w:p w14:paraId="63D59BA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w:t>
      </w:r>
      <w:bookmarkStart w:id="11" w:name="OLE_LINK40"/>
      <w:r>
        <w:rPr>
          <w:rFonts w:hint="eastAsia" w:ascii="宋体" w:hAnsi="宋体" w:eastAsia="宋体" w:cs="宋体"/>
          <w:color w:val="auto"/>
          <w:sz w:val="28"/>
          <w:szCs w:val="28"/>
          <w:lang w:val="en-US" w:eastAsia="zh-CN"/>
        </w:rPr>
        <w:t>开州区饮用水源地突发环境事件应急预案</w:t>
      </w:r>
      <w:bookmarkEnd w:id="11"/>
      <w:r>
        <w:rPr>
          <w:rFonts w:hint="eastAsia" w:ascii="宋体" w:hAnsi="宋体" w:eastAsia="宋体" w:cs="宋体"/>
          <w:color w:val="auto"/>
          <w:sz w:val="28"/>
          <w:szCs w:val="28"/>
          <w:lang w:val="en-US" w:eastAsia="zh-CN"/>
        </w:rPr>
        <w:t>》；</w:t>
      </w:r>
    </w:p>
    <w:p w14:paraId="2C2196F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《集中式饮用水水源地规范化建设环境保护技术要求》（HJ773）；</w:t>
      </w:r>
    </w:p>
    <w:p w14:paraId="3580046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《集中式饮用水水源地环境保护状况评估技术规范》（HJ774）；</w:t>
      </w:r>
    </w:p>
    <w:p w14:paraId="3FA1BA94">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《危险化学品安全管理条例》</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国务院令第645号，2011年修订</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w:t>
      </w:r>
    </w:p>
    <w:p w14:paraId="29F9EA4A">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《集中式地表水饮用水水源地突发环境事件应急预案编制指南（试行）》（公告2018年第1号）。</w:t>
      </w:r>
    </w:p>
    <w:p w14:paraId="7DA1977A">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rPr>
      </w:pPr>
      <w:bookmarkStart w:id="12" w:name="_Toc13899"/>
      <w:bookmarkStart w:id="13" w:name="_Toc386312991"/>
      <w:bookmarkStart w:id="14" w:name="_Toc9948"/>
      <w:r>
        <w:rPr>
          <w:rFonts w:hint="eastAsia" w:ascii="宋体" w:hAnsi="宋体" w:eastAsia="宋体" w:cs="宋体"/>
          <w:b/>
          <w:bCs/>
          <w:color w:val="000000"/>
          <w:sz w:val="28"/>
          <w:szCs w:val="28"/>
        </w:rPr>
        <w:t>1.</w:t>
      </w:r>
      <w:r>
        <w:rPr>
          <w:rFonts w:hint="eastAsia" w:ascii="宋体" w:hAnsi="宋体" w:eastAsia="宋体" w:cs="宋体"/>
          <w:b/>
          <w:bCs/>
          <w:color w:val="000000"/>
          <w:sz w:val="28"/>
          <w:szCs w:val="28"/>
          <w:lang w:val="en-US" w:eastAsia="zh-CN"/>
        </w:rPr>
        <w:t xml:space="preserve">4 </w:t>
      </w:r>
      <w:r>
        <w:rPr>
          <w:rFonts w:hint="eastAsia" w:ascii="宋体" w:hAnsi="宋体" w:eastAsia="宋体" w:cs="宋体"/>
          <w:b/>
          <w:bCs/>
          <w:color w:val="000000"/>
          <w:sz w:val="28"/>
          <w:szCs w:val="28"/>
        </w:rPr>
        <w:t>工作原则</w:t>
      </w:r>
      <w:bookmarkEnd w:id="12"/>
      <w:bookmarkEnd w:id="13"/>
      <w:bookmarkEnd w:id="14"/>
    </w:p>
    <w:p w14:paraId="3ED188B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在建立突发性环境污染事件应急系统及其响应程序时，本着实事求是、切实可行的方针，贯彻如下原则：</w:t>
      </w:r>
    </w:p>
    <w:p w14:paraId="26830B7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（1）救人第一、环境优先；</w:t>
      </w:r>
    </w:p>
    <w:p w14:paraId="77CB152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（2）先期处置、防止危害扩大；</w:t>
      </w:r>
    </w:p>
    <w:p w14:paraId="00141CC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（3）快速响应、科学应对；</w:t>
      </w:r>
    </w:p>
    <w:p w14:paraId="4505EA91">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（4）应急工作与岗位职责相结合。</w:t>
      </w:r>
    </w:p>
    <w:p w14:paraId="1F6CC920">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zh-CN"/>
        </w:rPr>
      </w:pPr>
      <w:bookmarkStart w:id="15" w:name="_Toc30184"/>
      <w:bookmarkStart w:id="16" w:name="_Toc23746"/>
      <w:bookmarkStart w:id="17" w:name="_Toc294080711"/>
      <w:bookmarkStart w:id="18" w:name="_Toc23990"/>
      <w:bookmarkStart w:id="19" w:name="_Toc6758"/>
      <w:bookmarkStart w:id="20" w:name="_Toc295467917"/>
      <w:r>
        <w:rPr>
          <w:rFonts w:hint="eastAsia" w:ascii="宋体" w:hAnsi="宋体" w:eastAsia="宋体" w:cs="宋体"/>
          <w:b/>
          <w:bCs/>
          <w:color w:val="000000"/>
          <w:sz w:val="28"/>
          <w:szCs w:val="28"/>
          <w:lang w:val="zh-CN"/>
        </w:rPr>
        <w:t>1.</w:t>
      </w:r>
      <w:r>
        <w:rPr>
          <w:rFonts w:hint="eastAsia" w:ascii="宋体" w:hAnsi="宋体" w:eastAsia="宋体" w:cs="宋体"/>
          <w:b/>
          <w:bCs/>
          <w:color w:val="000000"/>
          <w:sz w:val="28"/>
          <w:szCs w:val="28"/>
          <w:lang w:val="en-US" w:eastAsia="zh-CN"/>
        </w:rPr>
        <w:t xml:space="preserve">5 </w:t>
      </w:r>
      <w:r>
        <w:rPr>
          <w:rFonts w:hint="eastAsia" w:ascii="宋体" w:hAnsi="宋体" w:eastAsia="宋体" w:cs="宋体"/>
          <w:b/>
          <w:bCs/>
          <w:color w:val="000000"/>
          <w:sz w:val="28"/>
          <w:szCs w:val="28"/>
          <w:lang w:val="zh-CN"/>
        </w:rPr>
        <w:t>应急预案体系</w:t>
      </w:r>
      <w:bookmarkEnd w:id="15"/>
      <w:bookmarkEnd w:id="16"/>
      <w:bookmarkEnd w:id="17"/>
      <w:bookmarkEnd w:id="18"/>
      <w:bookmarkEnd w:id="19"/>
      <w:bookmarkEnd w:id="20"/>
    </w:p>
    <w:p w14:paraId="107836C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本预案为</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突发环境事件应急预案，该预案与《开州区突发环境事件应急预案》《重庆市开州区集中式饮用水源地突发环境事件应急预案》</w:t>
      </w:r>
      <w:r>
        <w:rPr>
          <w:rFonts w:hint="eastAsia" w:cs="宋体"/>
          <w:color w:val="auto"/>
          <w:sz w:val="28"/>
          <w:szCs w:val="28"/>
          <w:lang w:val="en-US" w:eastAsia="zh-CN"/>
        </w:rPr>
        <w:t>《重庆市开州区河堰镇突发环境事件应急预案》</w:t>
      </w:r>
      <w:r>
        <w:rPr>
          <w:rFonts w:hint="eastAsia" w:ascii="宋体" w:hAnsi="宋体" w:eastAsia="宋体" w:cs="宋体"/>
          <w:color w:val="auto"/>
          <w:sz w:val="28"/>
          <w:szCs w:val="28"/>
          <w:lang w:val="en-US" w:eastAsia="zh-CN"/>
        </w:rPr>
        <w:t>相衔接。</w:t>
      </w:r>
    </w:p>
    <w:p w14:paraId="1FE157FA">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应急预案体系组成结构见：图1.5-1。</w:t>
      </w:r>
    </w:p>
    <w:p w14:paraId="00DA566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center"/>
        <w:textAlignment w:val="auto"/>
        <w:rPr>
          <w:rFonts w:hint="default" w:hAnsi="宋体"/>
          <w:b/>
          <w:bCs/>
          <w:sz w:val="24"/>
          <w:szCs w:val="24"/>
        </w:rPr>
      </w:pPr>
      <w:r>
        <w:rPr>
          <w:rFonts w:hint="eastAsia" w:hAnsi="宋体"/>
          <w:b/>
          <w:bCs/>
          <w:sz w:val="24"/>
          <w:szCs w:val="24"/>
          <w:lang w:val="en-US" w:eastAsia="zh-CN"/>
        </w:rPr>
        <w:drawing>
          <wp:anchor distT="0" distB="0" distL="114300" distR="114300" simplePos="0" relativeHeight="251659264" behindDoc="0" locked="0" layoutInCell="1" allowOverlap="1">
            <wp:simplePos x="0" y="0"/>
            <wp:positionH relativeFrom="column">
              <wp:posOffset>-28575</wp:posOffset>
            </wp:positionH>
            <wp:positionV relativeFrom="paragraph">
              <wp:posOffset>48260</wp:posOffset>
            </wp:positionV>
            <wp:extent cx="5696585" cy="2962910"/>
            <wp:effectExtent l="0" t="0" r="18415" b="8890"/>
            <wp:wrapTopAndBottom/>
            <wp:docPr id="1" name="F360BE8B-6686-4F3D-AEAF-501FE73E4058-1" descr="C:/Users/Administrator/AppData/Local/Temp/绘图1.png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360BE8B-6686-4F3D-AEAF-501FE73E4058-1" descr="C:/Users/Administrator/AppData/Local/Temp/绘图1.png绘图1"/>
                    <pic:cNvPicPr>
                      <a:picLocks noChangeAspect="1"/>
                    </pic:cNvPicPr>
                  </pic:nvPicPr>
                  <pic:blipFill>
                    <a:blip r:embed="rId11"/>
                    <a:stretch>
                      <a:fillRect/>
                    </a:stretch>
                  </pic:blipFill>
                  <pic:spPr>
                    <a:xfrm>
                      <a:off x="0" y="0"/>
                      <a:ext cx="5696712" cy="2962656"/>
                    </a:xfrm>
                    <a:prstGeom prst="rect">
                      <a:avLst/>
                    </a:prstGeom>
                  </pic:spPr>
                </pic:pic>
              </a:graphicData>
            </a:graphic>
          </wp:anchor>
        </w:drawing>
      </w:r>
      <w:r>
        <w:rPr>
          <w:rFonts w:hint="eastAsia" w:hAnsi="宋体"/>
          <w:b/>
          <w:bCs/>
          <w:sz w:val="24"/>
          <w:szCs w:val="24"/>
          <w:lang w:val="en-US" w:eastAsia="zh-CN"/>
        </w:rPr>
        <w:t xml:space="preserve">图1.5-1 </w:t>
      </w:r>
      <w:r>
        <w:rPr>
          <w:rFonts w:hint="default" w:hAnsi="宋体"/>
          <w:b/>
          <w:bCs/>
          <w:sz w:val="24"/>
          <w:szCs w:val="24"/>
        </w:rPr>
        <w:t>预案体系结构图</w:t>
      </w:r>
    </w:p>
    <w:p w14:paraId="5156264F">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21" w:name="_Toc25351"/>
      <w:r>
        <w:rPr>
          <w:rFonts w:hint="eastAsia" w:ascii="宋体" w:hAnsi="宋体" w:eastAsia="宋体" w:cs="宋体"/>
          <w:b/>
          <w:bCs/>
          <w:color w:val="000000"/>
          <w:sz w:val="28"/>
          <w:szCs w:val="28"/>
          <w:lang w:val="en-US" w:eastAsia="zh-CN"/>
        </w:rPr>
        <w:t>1.6 事件分级</w:t>
      </w:r>
      <w:bookmarkEnd w:id="21"/>
    </w:p>
    <w:p w14:paraId="15251C8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按照突发环境事件的严重性和紧急程度，突发环境事件分为特别重大环境事件（Ⅰ级）、重大环境事件（Ⅱ级）、较大环境事件（Ⅲ级）和一般环境事件（Ⅳ级）四级。预警分级颜色依次为红色、橙色、黄色和蓝色。</w:t>
      </w:r>
    </w:p>
    <w:p w14:paraId="2DCA2EB4">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1.特别重大（Ⅰ级）突发环境事件。</w:t>
      </w:r>
    </w:p>
    <w:p w14:paraId="2416889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凡符合下列情形之一的，为特别重大突发环境事件：</w:t>
      </w:r>
    </w:p>
    <w:p w14:paraId="5D505F6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（1）因突发环境事件，造成主要水源地供水中断，影响居民生活，经济损失1000万元以上。</w:t>
      </w:r>
    </w:p>
    <w:p w14:paraId="597AC71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（2）因突发环境事件造成饮用水源严重污染，导致100人以上中毒。</w:t>
      </w:r>
    </w:p>
    <w:p w14:paraId="1A0E24F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（3）发生大面积水华（藻类数量达到108个/升，区段河长≥10 公里）并造成严重的饮用水源污染的。</w:t>
      </w:r>
    </w:p>
    <w:p w14:paraId="688C2B3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2.重大（Ⅱ级）突发环境事件。</w:t>
      </w:r>
    </w:p>
    <w:p w14:paraId="7D0442B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凡符合下列情形之一的，为重大突发环境事件：</w:t>
      </w:r>
    </w:p>
    <w:p w14:paraId="6B8A522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（1）因突发环境事件，部分水厂供水中断，大面积供水受到影响</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经济损失500万元以上、1000万元以下。</w:t>
      </w:r>
    </w:p>
    <w:p w14:paraId="4093D40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（2）因突发环境事件造成饮用水源严重污染，导致50人以上、100人以下中毒。</w:t>
      </w:r>
    </w:p>
    <w:p w14:paraId="21CE71E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（3）因环境污染造成涪江大面积污染，导致</w:t>
      </w:r>
      <w:bookmarkStart w:id="22" w:name="OLE_LINK11"/>
      <w:r>
        <w:rPr>
          <w:rFonts w:hint="eastAsia" w:ascii="宋体" w:hAnsi="宋体" w:eastAsia="宋体" w:cs="宋体"/>
          <w:color w:val="auto"/>
          <w:sz w:val="28"/>
          <w:szCs w:val="28"/>
          <w:lang w:val="en-US" w:eastAsia="zh-CN"/>
        </w:rPr>
        <w:t>合川城区集中式饮用水源</w:t>
      </w:r>
      <w:bookmarkEnd w:id="22"/>
      <w:r>
        <w:rPr>
          <w:rFonts w:hint="eastAsia" w:ascii="宋体" w:hAnsi="宋体" w:eastAsia="宋体" w:cs="宋体"/>
          <w:color w:val="auto"/>
          <w:sz w:val="28"/>
          <w:szCs w:val="28"/>
          <w:lang w:val="en-US" w:eastAsia="zh-CN"/>
        </w:rPr>
        <w:t>地取水中断的。</w:t>
      </w:r>
    </w:p>
    <w:p w14:paraId="406BC1C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（4）发生大面积水华（藻类数量达到108个/升，区段河长≥6公里）并造成较为严重的饮用水源污染的。</w:t>
      </w:r>
    </w:p>
    <w:p w14:paraId="6894C1E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3.较大（Ⅲ级）突发环境事件。</w:t>
      </w:r>
    </w:p>
    <w:p w14:paraId="230F034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凡符合下列情形之一的，为较大突发环境事件：</w:t>
      </w:r>
    </w:p>
    <w:p w14:paraId="5272270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（1）因突发环境事件，造成暂时性停水，影响部分居民生活，经济损失10万元以上、500万元以下。</w:t>
      </w:r>
    </w:p>
    <w:p w14:paraId="0CDF211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（2）因突发环境事件造成饮用水源严重污染，导致10人以上、50人以下中毒。</w:t>
      </w:r>
    </w:p>
    <w:p w14:paraId="7D28D06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（3）因环境污染造成乡镇饮用水源地取水中断的。</w:t>
      </w:r>
    </w:p>
    <w:p w14:paraId="4CD25C5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（4）发生大面积水华（藻类数量达到108个/升，区段河长≥3公里）并造成饮用水源污染的。</w:t>
      </w:r>
    </w:p>
    <w:p w14:paraId="76D131C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4.一般（Ⅳ级）突发环境事件。</w:t>
      </w:r>
    </w:p>
    <w:p w14:paraId="342426B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（1）因饮用水源污染造成直接经济损失10万元以下的； </w:t>
      </w:r>
    </w:p>
    <w:p w14:paraId="55AC741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（2）因饮用水源污染直接导致10人以下中毒的；</w:t>
      </w:r>
    </w:p>
    <w:p w14:paraId="1BCF72FC">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（3）因环境污染造成</w:t>
      </w:r>
      <w:bookmarkStart w:id="23" w:name="OLE_LINK12"/>
      <w:r>
        <w:rPr>
          <w:rFonts w:hint="eastAsia" w:ascii="宋体" w:hAnsi="宋体" w:eastAsia="宋体" w:cs="宋体"/>
          <w:color w:val="auto"/>
          <w:sz w:val="28"/>
          <w:szCs w:val="28"/>
          <w:lang w:val="en-US" w:eastAsia="zh-CN"/>
        </w:rPr>
        <w:t>村、社集中式饮用水源地</w:t>
      </w:r>
      <w:bookmarkEnd w:id="23"/>
      <w:r>
        <w:rPr>
          <w:rFonts w:hint="eastAsia" w:ascii="宋体" w:hAnsi="宋体" w:eastAsia="宋体" w:cs="宋体"/>
          <w:color w:val="auto"/>
          <w:sz w:val="28"/>
          <w:szCs w:val="28"/>
          <w:lang w:val="en-US" w:eastAsia="zh-CN"/>
        </w:rPr>
        <w:t>取水中断的；</w:t>
      </w:r>
    </w:p>
    <w:p w14:paraId="2938D35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sectPr>
          <w:footerReference r:id="rId7" w:type="default"/>
          <w:pgSz w:w="11906" w:h="16838"/>
          <w:pgMar w:top="1440" w:right="1800" w:bottom="1440" w:left="1800" w:header="851" w:footer="992" w:gutter="0"/>
          <w:pgNumType w:fmt="decimal" w:start="1"/>
          <w:cols w:space="720" w:num="1"/>
          <w:rtlGutter w:val="0"/>
          <w:docGrid w:type="lines" w:linePitch="312" w:charSpace="0"/>
        </w:sectPr>
      </w:pPr>
      <w:r>
        <w:rPr>
          <w:rFonts w:hint="eastAsia" w:ascii="宋体" w:hAnsi="宋体" w:eastAsia="宋体" w:cs="宋体"/>
          <w:color w:val="auto"/>
          <w:sz w:val="28"/>
          <w:szCs w:val="28"/>
          <w:lang w:val="en-US" w:eastAsia="zh-CN"/>
        </w:rPr>
        <w:t>（4）发生大面积水华（藻类数量达到 108个/升，区段河长＜3公里）并造成饮用水源污染的。</w:t>
      </w:r>
    </w:p>
    <w:p w14:paraId="4538A89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宋体" w:hAnsi="宋体" w:eastAsia="宋体" w:cs="宋体"/>
          <w:b/>
          <w:bCs/>
          <w:color w:val="auto"/>
          <w:kern w:val="2"/>
          <w:sz w:val="32"/>
          <w:szCs w:val="32"/>
          <w:lang w:val="en-US" w:eastAsia="zh-CN" w:bidi="ar-SA"/>
        </w:rPr>
      </w:pPr>
      <w:bookmarkStart w:id="24" w:name="_Toc28578"/>
      <w:bookmarkStart w:id="25" w:name="_Toc27083"/>
      <w:r>
        <w:rPr>
          <w:rFonts w:hint="eastAsia" w:ascii="宋体" w:hAnsi="宋体" w:eastAsia="宋体" w:cs="宋体"/>
          <w:b/>
          <w:bCs/>
          <w:color w:val="auto"/>
          <w:kern w:val="2"/>
          <w:sz w:val="32"/>
          <w:szCs w:val="32"/>
          <w:lang w:val="en-US" w:eastAsia="zh-CN" w:bidi="ar-SA"/>
        </w:rPr>
        <w:t xml:space="preserve">2 </w:t>
      </w:r>
      <w:r>
        <w:rPr>
          <w:rFonts w:hint="eastAsia" w:ascii="宋体" w:hAnsi="宋体" w:cs="宋体"/>
          <w:b/>
          <w:bCs/>
          <w:color w:val="auto"/>
          <w:kern w:val="2"/>
          <w:sz w:val="32"/>
          <w:szCs w:val="32"/>
          <w:lang w:val="en-US" w:eastAsia="zh-CN" w:bidi="ar-SA"/>
        </w:rPr>
        <w:t>开州区河堰镇双龙洞地下水河堰供水站水源地</w:t>
      </w:r>
      <w:r>
        <w:rPr>
          <w:rFonts w:hint="eastAsia" w:ascii="宋体" w:hAnsi="宋体" w:eastAsia="宋体" w:cs="宋体"/>
          <w:b/>
          <w:bCs/>
          <w:color w:val="auto"/>
          <w:kern w:val="2"/>
          <w:sz w:val="32"/>
          <w:szCs w:val="32"/>
          <w:lang w:val="en-US" w:eastAsia="zh-CN" w:bidi="ar-SA"/>
        </w:rPr>
        <w:t>基础信息</w:t>
      </w:r>
      <w:bookmarkEnd w:id="24"/>
      <w:bookmarkEnd w:id="25"/>
    </w:p>
    <w:p w14:paraId="3D9D62F0">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26" w:name="_Toc26011"/>
      <w:bookmarkStart w:id="27" w:name="_Toc11400"/>
      <w:bookmarkStart w:id="28" w:name="_Toc32095"/>
      <w:r>
        <w:rPr>
          <w:rFonts w:hint="eastAsia" w:ascii="宋体" w:hAnsi="宋体" w:eastAsia="宋体" w:cs="宋体"/>
          <w:b/>
          <w:bCs/>
          <w:color w:val="000000"/>
          <w:sz w:val="28"/>
          <w:szCs w:val="28"/>
          <w:lang w:val="en-US" w:eastAsia="zh-CN"/>
        </w:rPr>
        <w:t xml:space="preserve">2.1 </w:t>
      </w:r>
      <w:r>
        <w:rPr>
          <w:rFonts w:hint="eastAsia" w:ascii="宋体" w:hAnsi="宋体" w:cs="宋体"/>
          <w:b/>
          <w:bCs/>
          <w:color w:val="000000"/>
          <w:sz w:val="28"/>
          <w:szCs w:val="28"/>
          <w:lang w:val="en-US" w:eastAsia="zh-CN"/>
        </w:rPr>
        <w:t>开州区河堰镇双龙洞地下水河堰供水站水源地</w:t>
      </w:r>
      <w:r>
        <w:rPr>
          <w:rFonts w:hint="eastAsia" w:ascii="宋体" w:hAnsi="宋体" w:eastAsia="宋体" w:cs="宋体"/>
          <w:b/>
          <w:bCs/>
          <w:color w:val="000000"/>
          <w:sz w:val="28"/>
          <w:szCs w:val="28"/>
          <w:lang w:val="en-US" w:eastAsia="zh-CN"/>
        </w:rPr>
        <w:t>基础信息</w:t>
      </w:r>
      <w:bookmarkEnd w:id="26"/>
      <w:bookmarkEnd w:id="27"/>
      <w:bookmarkEnd w:id="28"/>
    </w:p>
    <w:p w14:paraId="45B31849">
      <w:pPr>
        <w:pStyle w:val="20"/>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color w:val="FF0000"/>
          <w:sz w:val="28"/>
          <w:szCs w:val="28"/>
        </w:rPr>
      </w:pPr>
      <w:r>
        <w:rPr>
          <w:rFonts w:hint="eastAsia" w:asciiTheme="minorEastAsia" w:hAnsiTheme="minorEastAsia" w:cstheme="minorEastAsia"/>
          <w:color w:val="auto"/>
          <w:sz w:val="28"/>
          <w:szCs w:val="28"/>
          <w:lang w:eastAsia="zh-CN"/>
        </w:rPr>
        <w:t>开州区河堰镇双龙洞地下水河堰供水站水源地属于</w:t>
      </w:r>
      <w:r>
        <w:rPr>
          <w:rFonts w:hint="eastAsia" w:asciiTheme="minorEastAsia" w:hAnsiTheme="minorEastAsia" w:cstheme="minorEastAsia"/>
          <w:color w:val="auto"/>
          <w:sz w:val="28"/>
          <w:szCs w:val="28"/>
          <w:lang w:val="en-US" w:eastAsia="zh-CN"/>
        </w:rPr>
        <w:t>地下水</w:t>
      </w:r>
      <w:r>
        <w:rPr>
          <w:rFonts w:hint="eastAsia" w:asciiTheme="minorEastAsia" w:hAnsiTheme="minorEastAsia" w:cstheme="minorEastAsia"/>
          <w:color w:val="auto"/>
          <w:sz w:val="28"/>
          <w:szCs w:val="28"/>
          <w:lang w:eastAsia="zh-CN"/>
        </w:rPr>
        <w:t>水源，水源代码为FB7300500234136G0001，取水点东经东经108°42'16"，北纬31°24'35"。</w:t>
      </w:r>
    </w:p>
    <w:p w14:paraId="20BAAD64">
      <w:pPr>
        <w:pStyle w:val="20"/>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花木村集中供水工程建于2018年4月，占地面积300㎡，厂区工作人员2人，厂区内设置有：药粉库房、材料室。设计供水量400吨／天，实际供水量200吨／天，服务人口3000人左右，水厂净化采取：混凝反应---预沉---沉淀---过滤---消毒生产工艺，供水水质标准执行生活饮用水卫生标准（GB5479-20</w:t>
      </w:r>
      <w:r>
        <w:rPr>
          <w:rFonts w:hint="eastAsia" w:asciiTheme="minorEastAsia" w:hAnsiTheme="minorEastAsia" w:cstheme="minorEastAsia"/>
          <w:color w:val="auto"/>
          <w:sz w:val="28"/>
          <w:szCs w:val="28"/>
          <w:lang w:val="en-US" w:eastAsia="zh-CN"/>
        </w:rPr>
        <w:t>22</w:t>
      </w:r>
      <w:r>
        <w:rPr>
          <w:rFonts w:hint="eastAsia" w:asciiTheme="minorEastAsia" w:hAnsiTheme="minorEastAsia" w:eastAsiaTheme="minorEastAsia" w:cstheme="minorEastAsia"/>
          <w:color w:val="auto"/>
          <w:sz w:val="28"/>
          <w:szCs w:val="28"/>
        </w:rPr>
        <w:t>）。</w:t>
      </w:r>
    </w:p>
    <w:p w14:paraId="39F1A11C">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Theme="minorEastAsia" w:hAnsiTheme="minorEastAsia" w:eastAsiaTheme="minorEastAsia" w:cstheme="minorEastAsia"/>
          <w:color w:val="auto"/>
          <w:sz w:val="28"/>
          <w:szCs w:val="28"/>
        </w:rPr>
        <w:t>重庆清泉水务有限公司河堰自来水厂建于2015年1月，占地面积1600㎡，厂区工作人员5人，厂区内设置有：加压房、药粉库房、材料室、办公室、值班室等。设计供水量800吨／天，实际供水量600吨／天，服务人口12000人左右，水厂净化采取：混凝反应---预沉---沉淀---过滤---消毒生产工艺，供水水质标准执行生活饮用水卫生标准（GB5479-20</w:t>
      </w:r>
      <w:r>
        <w:rPr>
          <w:rFonts w:hint="eastAsia" w:asciiTheme="minorEastAsia" w:hAnsiTheme="minorEastAsia" w:cstheme="minorEastAsia"/>
          <w:color w:val="auto"/>
          <w:sz w:val="28"/>
          <w:szCs w:val="28"/>
          <w:lang w:val="en-US" w:eastAsia="zh-CN"/>
        </w:rPr>
        <w:t>22</w:t>
      </w:r>
      <w:r>
        <w:rPr>
          <w:rFonts w:hint="eastAsia" w:asciiTheme="minorEastAsia" w:hAnsiTheme="minorEastAsia" w:eastAsiaTheme="minorEastAsia" w:cstheme="minorEastAsia"/>
          <w:color w:val="auto"/>
          <w:sz w:val="28"/>
          <w:szCs w:val="28"/>
        </w:rPr>
        <w:t>）</w:t>
      </w:r>
      <w:r>
        <w:rPr>
          <w:rFonts w:hint="eastAsia" w:ascii="宋体" w:hAnsi="宋体" w:eastAsia="宋体" w:cs="宋体"/>
          <w:color w:val="auto"/>
          <w:sz w:val="28"/>
          <w:szCs w:val="28"/>
          <w:lang w:val="en-US" w:eastAsia="zh-CN"/>
        </w:rPr>
        <w:t>。</w:t>
      </w:r>
    </w:p>
    <w:p w14:paraId="4E1DCE2D">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29" w:name="_Toc7178"/>
      <w:r>
        <w:rPr>
          <w:rFonts w:hint="eastAsia" w:ascii="宋体" w:hAnsi="宋体" w:eastAsia="宋体" w:cs="宋体"/>
          <w:b/>
          <w:bCs/>
          <w:color w:val="000000"/>
          <w:sz w:val="28"/>
          <w:szCs w:val="28"/>
          <w:lang w:val="en-US" w:eastAsia="zh-CN"/>
        </w:rPr>
        <w:t>2.2 饮用水源地保护区划分情况简介</w:t>
      </w:r>
      <w:bookmarkEnd w:id="29"/>
    </w:p>
    <w:p w14:paraId="0EAD793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2018年5月根据重庆市人民政府办公厅《关于调整万州等区县（开发区）集中式</w:t>
      </w:r>
      <w:r>
        <w:rPr>
          <w:rFonts w:hint="eastAsia" w:cs="宋体"/>
          <w:color w:val="auto"/>
          <w:sz w:val="28"/>
          <w:szCs w:val="28"/>
          <w:lang w:val="en-US" w:eastAsia="zh-CN"/>
        </w:rPr>
        <w:t>饮用</w:t>
      </w:r>
      <w:r>
        <w:rPr>
          <w:rFonts w:hint="eastAsia" w:ascii="宋体" w:hAnsi="宋体" w:eastAsia="宋体" w:cs="宋体"/>
          <w:color w:val="auto"/>
          <w:sz w:val="28"/>
          <w:szCs w:val="28"/>
          <w:lang w:val="en-US" w:eastAsia="zh-CN"/>
        </w:rPr>
        <w:t>水源地保护区划分及调整方案的通知》（渝府办[2018]7号）要求，对饮用水厂水源地进行了调整，调整后的情况见表2.2-1。</w:t>
      </w:r>
    </w:p>
    <w:p w14:paraId="285786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 xml:space="preserve">表2.2-1 </w:t>
      </w:r>
      <w:r>
        <w:rPr>
          <w:rFonts w:hint="eastAsia" w:asciiTheme="minorEastAsia" w:hAnsiTheme="minorEastAsia" w:eastAsiaTheme="minorEastAsia" w:cstheme="minorEastAsia"/>
          <w:b/>
          <w:bCs/>
          <w:sz w:val="24"/>
          <w:szCs w:val="24"/>
          <w:lang w:eastAsia="zh-CN"/>
        </w:rPr>
        <w:t>开州区河堰镇双龙洞地下水河堰供水站水源地调整情况表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
        <w:gridCol w:w="902"/>
        <w:gridCol w:w="450"/>
        <w:gridCol w:w="474"/>
        <w:gridCol w:w="497"/>
        <w:gridCol w:w="450"/>
        <w:gridCol w:w="554"/>
        <w:gridCol w:w="1054"/>
        <w:gridCol w:w="1579"/>
        <w:gridCol w:w="1257"/>
        <w:gridCol w:w="1579"/>
      </w:tblGrid>
      <w:tr w14:paraId="4D83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vMerge w:val="restart"/>
            <w:noWrap w:val="0"/>
            <w:tcMar>
              <w:top w:w="15" w:type="dxa"/>
              <w:left w:w="15" w:type="dxa"/>
              <w:bottom w:w="15" w:type="dxa"/>
              <w:right w:w="15" w:type="dxa"/>
            </w:tcMar>
            <w:vAlign w:val="center"/>
          </w:tcPr>
          <w:p w14:paraId="0806C59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0" w:type="auto"/>
            <w:vMerge w:val="restart"/>
            <w:noWrap w:val="0"/>
            <w:tcMar>
              <w:top w:w="15" w:type="dxa"/>
              <w:left w:w="15" w:type="dxa"/>
              <w:bottom w:w="15" w:type="dxa"/>
              <w:right w:w="15" w:type="dxa"/>
            </w:tcMar>
            <w:vAlign w:val="center"/>
          </w:tcPr>
          <w:p w14:paraId="2D3B619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饮用水源地名称</w:t>
            </w:r>
          </w:p>
        </w:tc>
        <w:tc>
          <w:tcPr>
            <w:tcW w:w="0" w:type="auto"/>
            <w:vMerge w:val="restart"/>
            <w:noWrap w:val="0"/>
            <w:tcMar>
              <w:top w:w="15" w:type="dxa"/>
              <w:left w:w="15" w:type="dxa"/>
              <w:bottom w:w="15" w:type="dxa"/>
              <w:right w:w="15" w:type="dxa"/>
            </w:tcMar>
            <w:vAlign w:val="center"/>
          </w:tcPr>
          <w:p w14:paraId="77E38F1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水源名称</w:t>
            </w:r>
          </w:p>
        </w:tc>
        <w:tc>
          <w:tcPr>
            <w:tcW w:w="0" w:type="auto"/>
            <w:vMerge w:val="restart"/>
            <w:noWrap w:val="0"/>
            <w:tcMar>
              <w:top w:w="15" w:type="dxa"/>
              <w:left w:w="15" w:type="dxa"/>
              <w:bottom w:w="15" w:type="dxa"/>
              <w:right w:w="15" w:type="dxa"/>
            </w:tcMar>
            <w:vAlign w:val="center"/>
          </w:tcPr>
          <w:p w14:paraId="579DC69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水源类型</w:t>
            </w:r>
          </w:p>
        </w:tc>
        <w:tc>
          <w:tcPr>
            <w:tcW w:w="0" w:type="auto"/>
            <w:vMerge w:val="restart"/>
            <w:noWrap w:val="0"/>
            <w:tcMar>
              <w:top w:w="15" w:type="dxa"/>
              <w:left w:w="15" w:type="dxa"/>
              <w:bottom w:w="15" w:type="dxa"/>
              <w:right w:w="15" w:type="dxa"/>
            </w:tcMar>
            <w:vAlign w:val="center"/>
          </w:tcPr>
          <w:p w14:paraId="5A9FAD0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水源所在镇（街道）</w:t>
            </w:r>
          </w:p>
        </w:tc>
        <w:tc>
          <w:tcPr>
            <w:tcW w:w="0" w:type="auto"/>
            <w:vMerge w:val="restart"/>
            <w:noWrap w:val="0"/>
            <w:tcMar>
              <w:top w:w="15" w:type="dxa"/>
              <w:left w:w="15" w:type="dxa"/>
              <w:bottom w:w="15" w:type="dxa"/>
              <w:right w:w="15" w:type="dxa"/>
            </w:tcMar>
            <w:vAlign w:val="center"/>
          </w:tcPr>
          <w:p w14:paraId="45F2ADE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使用</w:t>
            </w:r>
          </w:p>
          <w:p w14:paraId="38044C2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状态</w:t>
            </w:r>
          </w:p>
        </w:tc>
        <w:tc>
          <w:tcPr>
            <w:tcW w:w="0" w:type="auto"/>
            <w:vMerge w:val="restart"/>
            <w:noWrap w:val="0"/>
            <w:tcMar>
              <w:top w:w="15" w:type="dxa"/>
              <w:left w:w="15" w:type="dxa"/>
              <w:bottom w:w="15" w:type="dxa"/>
              <w:right w:w="15" w:type="dxa"/>
            </w:tcMar>
            <w:vAlign w:val="center"/>
          </w:tcPr>
          <w:p w14:paraId="06E1833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管理单位</w:t>
            </w:r>
          </w:p>
        </w:tc>
        <w:tc>
          <w:tcPr>
            <w:tcW w:w="0" w:type="auto"/>
            <w:gridSpan w:val="4"/>
            <w:noWrap w:val="0"/>
            <w:tcMar>
              <w:top w:w="15" w:type="dxa"/>
              <w:left w:w="15" w:type="dxa"/>
              <w:bottom w:w="15" w:type="dxa"/>
              <w:right w:w="15" w:type="dxa"/>
            </w:tcMar>
            <w:vAlign w:val="center"/>
          </w:tcPr>
          <w:p w14:paraId="7EECB58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保护区划分范围</w:t>
            </w:r>
          </w:p>
        </w:tc>
      </w:tr>
      <w:tr w14:paraId="325D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vMerge w:val="continue"/>
            <w:noWrap w:val="0"/>
            <w:tcMar>
              <w:top w:w="15" w:type="dxa"/>
              <w:left w:w="15" w:type="dxa"/>
              <w:bottom w:w="15" w:type="dxa"/>
              <w:right w:w="15" w:type="dxa"/>
            </w:tcMar>
            <w:vAlign w:val="center"/>
          </w:tcPr>
          <w:p w14:paraId="696491A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2801A18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481F188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1EC25F2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071ED5F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5489F7D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203DB76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gridSpan w:val="2"/>
            <w:noWrap w:val="0"/>
            <w:tcMar>
              <w:top w:w="15" w:type="dxa"/>
              <w:left w:w="15" w:type="dxa"/>
              <w:bottom w:w="15" w:type="dxa"/>
              <w:right w:w="15" w:type="dxa"/>
            </w:tcMar>
            <w:vAlign w:val="center"/>
          </w:tcPr>
          <w:p w14:paraId="3A04A63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一级保护区</w:t>
            </w:r>
          </w:p>
        </w:tc>
        <w:tc>
          <w:tcPr>
            <w:tcW w:w="0" w:type="auto"/>
            <w:gridSpan w:val="2"/>
            <w:noWrap w:val="0"/>
            <w:tcMar>
              <w:top w:w="15" w:type="dxa"/>
              <w:left w:w="15" w:type="dxa"/>
              <w:bottom w:w="15" w:type="dxa"/>
              <w:right w:w="15" w:type="dxa"/>
            </w:tcMar>
            <w:vAlign w:val="center"/>
          </w:tcPr>
          <w:p w14:paraId="7F634EC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二级保护区</w:t>
            </w:r>
          </w:p>
        </w:tc>
      </w:tr>
      <w:tr w14:paraId="4C16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0" w:type="auto"/>
            <w:vMerge w:val="continue"/>
            <w:noWrap w:val="0"/>
            <w:tcMar>
              <w:top w:w="15" w:type="dxa"/>
              <w:left w:w="15" w:type="dxa"/>
              <w:bottom w:w="15" w:type="dxa"/>
              <w:right w:w="15" w:type="dxa"/>
            </w:tcMar>
            <w:vAlign w:val="center"/>
          </w:tcPr>
          <w:p w14:paraId="5CED48E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70AD159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56756D5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7C80347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742911D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21517DA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vMerge w:val="continue"/>
            <w:noWrap w:val="0"/>
            <w:tcMar>
              <w:top w:w="15" w:type="dxa"/>
              <w:left w:w="15" w:type="dxa"/>
              <w:bottom w:w="15" w:type="dxa"/>
              <w:right w:w="15" w:type="dxa"/>
            </w:tcMar>
            <w:vAlign w:val="center"/>
          </w:tcPr>
          <w:p w14:paraId="02AC215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p>
        </w:tc>
        <w:tc>
          <w:tcPr>
            <w:tcW w:w="0" w:type="auto"/>
            <w:noWrap w:val="0"/>
            <w:tcMar>
              <w:top w:w="15" w:type="dxa"/>
              <w:left w:w="15" w:type="dxa"/>
              <w:bottom w:w="15" w:type="dxa"/>
              <w:right w:w="15" w:type="dxa"/>
            </w:tcMar>
            <w:vAlign w:val="center"/>
          </w:tcPr>
          <w:p w14:paraId="7F7563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水域范围</w:t>
            </w:r>
          </w:p>
        </w:tc>
        <w:tc>
          <w:tcPr>
            <w:tcW w:w="0" w:type="auto"/>
            <w:noWrap w:val="0"/>
            <w:tcMar>
              <w:top w:w="15" w:type="dxa"/>
              <w:left w:w="15" w:type="dxa"/>
              <w:bottom w:w="15" w:type="dxa"/>
              <w:right w:w="15" w:type="dxa"/>
            </w:tcMar>
            <w:vAlign w:val="center"/>
          </w:tcPr>
          <w:p w14:paraId="0DE7464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陆域范围</w:t>
            </w:r>
          </w:p>
        </w:tc>
        <w:tc>
          <w:tcPr>
            <w:tcW w:w="0" w:type="auto"/>
            <w:noWrap w:val="0"/>
            <w:tcMar>
              <w:top w:w="15" w:type="dxa"/>
              <w:left w:w="15" w:type="dxa"/>
              <w:bottom w:w="15" w:type="dxa"/>
              <w:right w:w="15" w:type="dxa"/>
            </w:tcMar>
            <w:vAlign w:val="center"/>
          </w:tcPr>
          <w:p w14:paraId="77143E5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水域范围</w:t>
            </w:r>
          </w:p>
        </w:tc>
        <w:tc>
          <w:tcPr>
            <w:tcW w:w="0" w:type="auto"/>
            <w:noWrap w:val="0"/>
            <w:tcMar>
              <w:top w:w="15" w:type="dxa"/>
              <w:left w:w="15" w:type="dxa"/>
              <w:bottom w:w="15" w:type="dxa"/>
              <w:right w:w="15" w:type="dxa"/>
            </w:tcMar>
            <w:vAlign w:val="center"/>
          </w:tcPr>
          <w:p w14:paraId="3C96612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陆域范围</w:t>
            </w:r>
          </w:p>
        </w:tc>
      </w:tr>
      <w:tr w14:paraId="1415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2" w:type="dxa"/>
            <w:noWrap w:val="0"/>
            <w:tcMar>
              <w:top w:w="15" w:type="dxa"/>
              <w:left w:w="15" w:type="dxa"/>
              <w:bottom w:w="15" w:type="dxa"/>
              <w:right w:w="15" w:type="dxa"/>
            </w:tcMar>
            <w:vAlign w:val="center"/>
          </w:tcPr>
          <w:p w14:paraId="25342A67">
            <w:pPr>
              <w:pStyle w:val="21"/>
              <w:keepNext w:val="0"/>
              <w:keepLines w:val="0"/>
              <w:pageBreakBefore w:val="0"/>
              <w:kinsoku/>
              <w:wordWrap/>
              <w:overflowPunct/>
              <w:topLinePunct w:val="0"/>
              <w:autoSpaceDE/>
              <w:autoSpaceDN/>
              <w:bidi w:val="0"/>
              <w:spacing w:line="300" w:lineRule="exact"/>
              <w:ind w:firstLine="0" w:firstLineChars="0"/>
              <w:jc w:val="center"/>
              <w:textAlignment w:val="auto"/>
              <w:rPr>
                <w:rFonts w:hint="eastAsia" w:ascii="宋体" w:hAnsi="宋体" w:eastAsia="宋体" w:cs="宋体"/>
                <w:sz w:val="21"/>
                <w:szCs w:val="21"/>
                <w:lang w:val="en-US" w:eastAsia="zh-CN"/>
              </w:rPr>
            </w:pPr>
            <w:r>
              <w:rPr>
                <w:rFonts w:hint="eastAsia"/>
                <w:color w:val="auto"/>
                <w:sz w:val="21"/>
                <w:szCs w:val="21"/>
                <w:lang w:val="en-US" w:eastAsia="zh-CN"/>
              </w:rPr>
              <w:t>1</w:t>
            </w:r>
          </w:p>
        </w:tc>
        <w:tc>
          <w:tcPr>
            <w:tcW w:w="902" w:type="dxa"/>
            <w:shd w:val="clear" w:color="auto" w:fill="auto"/>
            <w:noWrap w:val="0"/>
            <w:tcMar>
              <w:top w:w="15" w:type="dxa"/>
              <w:left w:w="15" w:type="dxa"/>
              <w:bottom w:w="15" w:type="dxa"/>
              <w:right w:w="15" w:type="dxa"/>
            </w:tcMar>
            <w:vAlign w:val="center"/>
          </w:tcPr>
          <w:p w14:paraId="226FB274">
            <w:pPr>
              <w:pStyle w:val="21"/>
              <w:keepNext w:val="0"/>
              <w:keepLines w:val="0"/>
              <w:pageBreakBefore w:val="0"/>
              <w:kinsoku/>
              <w:wordWrap/>
              <w:overflowPunct/>
              <w:topLinePunct w:val="0"/>
              <w:autoSpaceDE/>
              <w:autoSpaceDN/>
              <w:bidi w:val="0"/>
              <w:spacing w:line="300" w:lineRule="exact"/>
              <w:ind w:firstLine="0" w:firstLineChars="0"/>
              <w:jc w:val="center"/>
              <w:textAlignment w:val="auto"/>
              <w:rPr>
                <w:rFonts w:hint="eastAsia" w:ascii="宋体" w:hAnsi="宋体" w:eastAsia="宋体" w:cs="宋体"/>
                <w:sz w:val="21"/>
                <w:szCs w:val="21"/>
                <w:lang w:val="en-US" w:eastAsia="zh-CN"/>
              </w:rPr>
            </w:pPr>
            <w:r>
              <w:rPr>
                <w:rFonts w:hint="eastAsia"/>
                <w:color w:val="auto"/>
                <w:sz w:val="21"/>
                <w:szCs w:val="21"/>
                <w:lang w:val="en-US" w:eastAsia="zh-CN"/>
              </w:rPr>
              <w:t>开州区河堰镇双龙洞地下水河堰供水站水源地</w:t>
            </w:r>
          </w:p>
        </w:tc>
        <w:tc>
          <w:tcPr>
            <w:tcW w:w="450" w:type="dxa"/>
            <w:shd w:val="clear" w:color="auto" w:fill="auto"/>
            <w:noWrap w:val="0"/>
            <w:tcMar>
              <w:top w:w="15" w:type="dxa"/>
              <w:left w:w="15" w:type="dxa"/>
              <w:bottom w:w="15" w:type="dxa"/>
              <w:right w:w="15" w:type="dxa"/>
            </w:tcMar>
            <w:vAlign w:val="center"/>
          </w:tcPr>
          <w:p w14:paraId="321892A7">
            <w:pPr>
              <w:pStyle w:val="21"/>
              <w:keepNext w:val="0"/>
              <w:keepLines w:val="0"/>
              <w:pageBreakBefore w:val="0"/>
              <w:kinsoku/>
              <w:wordWrap/>
              <w:overflowPunct/>
              <w:topLinePunct w:val="0"/>
              <w:autoSpaceDE/>
              <w:autoSpaceDN/>
              <w:bidi w:val="0"/>
              <w:spacing w:line="300" w:lineRule="exact"/>
              <w:ind w:firstLine="0" w:firstLineChars="0"/>
              <w:jc w:val="center"/>
              <w:textAlignment w:val="auto"/>
              <w:rPr>
                <w:rFonts w:hint="eastAsia" w:ascii="宋体" w:hAnsi="宋体" w:eastAsia="宋体" w:cs="宋体"/>
                <w:sz w:val="21"/>
                <w:szCs w:val="21"/>
                <w:lang w:val="en-US" w:eastAsia="zh-CN"/>
              </w:rPr>
            </w:pPr>
            <w:r>
              <w:rPr>
                <w:rFonts w:hint="eastAsia"/>
                <w:color w:val="auto"/>
                <w:sz w:val="21"/>
                <w:szCs w:val="21"/>
                <w:lang w:val="en-US" w:eastAsia="zh-CN"/>
              </w:rPr>
              <w:t>双龙洞地下水</w:t>
            </w:r>
          </w:p>
        </w:tc>
        <w:tc>
          <w:tcPr>
            <w:tcW w:w="474" w:type="dxa"/>
            <w:shd w:val="clear" w:color="auto" w:fill="auto"/>
            <w:noWrap w:val="0"/>
            <w:tcMar>
              <w:top w:w="15" w:type="dxa"/>
              <w:left w:w="15" w:type="dxa"/>
              <w:bottom w:w="15" w:type="dxa"/>
              <w:right w:w="15" w:type="dxa"/>
            </w:tcMar>
            <w:vAlign w:val="center"/>
          </w:tcPr>
          <w:p w14:paraId="5BF0FB32">
            <w:pPr>
              <w:pStyle w:val="21"/>
              <w:keepNext w:val="0"/>
              <w:keepLines w:val="0"/>
              <w:pageBreakBefore w:val="0"/>
              <w:kinsoku/>
              <w:wordWrap/>
              <w:overflowPunct/>
              <w:topLinePunct w:val="0"/>
              <w:autoSpaceDE/>
              <w:autoSpaceDN/>
              <w:bidi w:val="0"/>
              <w:spacing w:line="300" w:lineRule="exact"/>
              <w:ind w:firstLine="0" w:firstLineChars="0"/>
              <w:jc w:val="center"/>
              <w:textAlignment w:val="auto"/>
              <w:rPr>
                <w:rFonts w:hint="eastAsia" w:ascii="宋体" w:hAnsi="宋体" w:eastAsia="宋体" w:cs="宋体"/>
                <w:sz w:val="21"/>
                <w:szCs w:val="21"/>
                <w:lang w:val="en-US" w:eastAsia="zh-CN"/>
              </w:rPr>
            </w:pPr>
            <w:r>
              <w:rPr>
                <w:rFonts w:hint="eastAsia"/>
                <w:color w:val="auto"/>
                <w:sz w:val="21"/>
                <w:szCs w:val="21"/>
                <w:lang w:val="en-US" w:eastAsia="zh-CN"/>
              </w:rPr>
              <w:t>地下水</w:t>
            </w:r>
          </w:p>
        </w:tc>
        <w:tc>
          <w:tcPr>
            <w:tcW w:w="497" w:type="dxa"/>
            <w:shd w:val="clear" w:color="auto" w:fill="auto"/>
            <w:noWrap w:val="0"/>
            <w:tcMar>
              <w:top w:w="15" w:type="dxa"/>
              <w:left w:w="15" w:type="dxa"/>
              <w:bottom w:w="15" w:type="dxa"/>
              <w:right w:w="15" w:type="dxa"/>
            </w:tcMar>
            <w:vAlign w:val="center"/>
          </w:tcPr>
          <w:p w14:paraId="1A14B5FB">
            <w:pPr>
              <w:pStyle w:val="21"/>
              <w:keepNext w:val="0"/>
              <w:keepLines w:val="0"/>
              <w:pageBreakBefore w:val="0"/>
              <w:kinsoku/>
              <w:wordWrap/>
              <w:overflowPunct/>
              <w:topLinePunct w:val="0"/>
              <w:autoSpaceDE/>
              <w:autoSpaceDN/>
              <w:bidi w:val="0"/>
              <w:spacing w:line="300" w:lineRule="exact"/>
              <w:ind w:firstLine="0" w:firstLineChars="0"/>
              <w:jc w:val="center"/>
              <w:textAlignment w:val="auto"/>
              <w:rPr>
                <w:rFonts w:hint="eastAsia" w:ascii="宋体" w:hAnsi="宋体" w:eastAsia="宋体" w:cs="宋体"/>
                <w:sz w:val="21"/>
                <w:szCs w:val="21"/>
                <w:lang w:val="en-US" w:eastAsia="zh-CN"/>
              </w:rPr>
            </w:pPr>
            <w:r>
              <w:rPr>
                <w:rFonts w:hint="eastAsia"/>
                <w:color w:val="auto"/>
                <w:sz w:val="21"/>
                <w:szCs w:val="21"/>
                <w:lang w:val="en-US" w:eastAsia="zh-CN"/>
              </w:rPr>
              <w:t>河堰镇</w:t>
            </w:r>
          </w:p>
        </w:tc>
        <w:tc>
          <w:tcPr>
            <w:tcW w:w="450" w:type="dxa"/>
            <w:shd w:val="clear" w:color="auto" w:fill="auto"/>
            <w:noWrap w:val="0"/>
            <w:tcMar>
              <w:top w:w="15" w:type="dxa"/>
              <w:left w:w="15" w:type="dxa"/>
              <w:bottom w:w="15" w:type="dxa"/>
              <w:right w:w="15" w:type="dxa"/>
            </w:tcMar>
            <w:vAlign w:val="center"/>
          </w:tcPr>
          <w:p w14:paraId="33969D47">
            <w:pPr>
              <w:pStyle w:val="21"/>
              <w:keepNext w:val="0"/>
              <w:keepLines w:val="0"/>
              <w:pageBreakBefore w:val="0"/>
              <w:kinsoku/>
              <w:wordWrap/>
              <w:overflowPunct/>
              <w:topLinePunct w:val="0"/>
              <w:autoSpaceDE/>
              <w:autoSpaceDN/>
              <w:bidi w:val="0"/>
              <w:spacing w:line="300" w:lineRule="exact"/>
              <w:ind w:firstLine="0" w:firstLineChars="0"/>
              <w:jc w:val="center"/>
              <w:textAlignment w:val="auto"/>
              <w:rPr>
                <w:rFonts w:hint="eastAsia" w:ascii="宋体" w:hAnsi="宋体" w:eastAsia="宋体" w:cs="宋体"/>
                <w:sz w:val="21"/>
                <w:szCs w:val="21"/>
                <w:lang w:val="en-US" w:eastAsia="zh-CN"/>
              </w:rPr>
            </w:pPr>
            <w:r>
              <w:rPr>
                <w:rFonts w:hint="eastAsia"/>
                <w:color w:val="auto"/>
                <w:sz w:val="21"/>
                <w:szCs w:val="21"/>
                <w:lang w:val="en-US" w:eastAsia="zh-CN"/>
              </w:rPr>
              <w:t>正常</w:t>
            </w:r>
          </w:p>
        </w:tc>
        <w:tc>
          <w:tcPr>
            <w:tcW w:w="554" w:type="dxa"/>
            <w:shd w:val="clear" w:color="auto" w:fill="auto"/>
            <w:noWrap w:val="0"/>
            <w:tcMar>
              <w:top w:w="15" w:type="dxa"/>
              <w:left w:w="15" w:type="dxa"/>
              <w:bottom w:w="15" w:type="dxa"/>
              <w:right w:w="15" w:type="dxa"/>
            </w:tcMar>
            <w:vAlign w:val="center"/>
          </w:tcPr>
          <w:p w14:paraId="3B71D6E2">
            <w:pPr>
              <w:pStyle w:val="21"/>
              <w:keepNext w:val="0"/>
              <w:keepLines w:val="0"/>
              <w:pageBreakBefore w:val="0"/>
              <w:kinsoku/>
              <w:wordWrap/>
              <w:overflowPunct/>
              <w:topLinePunct w:val="0"/>
              <w:autoSpaceDE/>
              <w:autoSpaceDN/>
              <w:bidi w:val="0"/>
              <w:spacing w:line="300" w:lineRule="exact"/>
              <w:ind w:firstLine="0" w:firstLineChars="0"/>
              <w:jc w:val="center"/>
              <w:textAlignment w:val="auto"/>
              <w:rPr>
                <w:rFonts w:hint="eastAsia" w:ascii="宋体" w:hAnsi="宋体" w:eastAsia="宋体" w:cs="宋体"/>
                <w:sz w:val="21"/>
                <w:szCs w:val="21"/>
                <w:lang w:val="en-US" w:eastAsia="zh-CN"/>
              </w:rPr>
            </w:pPr>
            <w:r>
              <w:rPr>
                <w:rFonts w:hint="eastAsia"/>
                <w:color w:val="auto"/>
                <w:sz w:val="21"/>
                <w:szCs w:val="21"/>
                <w:lang w:val="en-US" w:eastAsia="zh-CN"/>
              </w:rPr>
              <w:t>花木村集中供水工程、河堰自来水厂</w:t>
            </w:r>
          </w:p>
        </w:tc>
        <w:tc>
          <w:tcPr>
            <w:tcW w:w="1054" w:type="dxa"/>
            <w:shd w:val="clear" w:color="auto" w:fill="auto"/>
            <w:noWrap w:val="0"/>
            <w:tcMar>
              <w:top w:w="15" w:type="dxa"/>
              <w:left w:w="15" w:type="dxa"/>
              <w:bottom w:w="15" w:type="dxa"/>
              <w:right w:w="15" w:type="dxa"/>
            </w:tcMar>
            <w:vAlign w:val="center"/>
          </w:tcPr>
          <w:p w14:paraId="5163D020">
            <w:pPr>
              <w:pStyle w:val="21"/>
              <w:keepNext w:val="0"/>
              <w:keepLines w:val="0"/>
              <w:pageBreakBefore w:val="0"/>
              <w:kinsoku/>
              <w:wordWrap/>
              <w:overflowPunct/>
              <w:topLinePunct w:val="0"/>
              <w:autoSpaceDE/>
              <w:autoSpaceDN/>
              <w:bidi w:val="0"/>
              <w:spacing w:line="300" w:lineRule="exact"/>
              <w:ind w:firstLine="0" w:firstLineChars="0"/>
              <w:jc w:val="center"/>
              <w:textAlignment w:val="auto"/>
              <w:rPr>
                <w:rFonts w:hint="eastAsia" w:ascii="宋体" w:hAnsi="宋体" w:eastAsia="宋体" w:cs="宋体"/>
                <w:sz w:val="21"/>
                <w:szCs w:val="21"/>
                <w:lang w:val="en-US" w:eastAsia="zh-CN"/>
              </w:rPr>
            </w:pPr>
            <w:r>
              <w:rPr>
                <w:rFonts w:hint="eastAsia"/>
                <w:color w:val="auto"/>
                <w:sz w:val="21"/>
                <w:szCs w:val="21"/>
                <w:lang w:val="en-US" w:eastAsia="zh-CN"/>
              </w:rPr>
              <w:t>取水口至分水岭区域</w:t>
            </w:r>
          </w:p>
        </w:tc>
        <w:tc>
          <w:tcPr>
            <w:tcW w:w="1579" w:type="dxa"/>
            <w:shd w:val="clear" w:color="auto" w:fill="auto"/>
            <w:noWrap w:val="0"/>
            <w:tcMar>
              <w:top w:w="15" w:type="dxa"/>
              <w:left w:w="15" w:type="dxa"/>
              <w:bottom w:w="15" w:type="dxa"/>
              <w:right w:w="15" w:type="dxa"/>
            </w:tcMar>
            <w:vAlign w:val="center"/>
          </w:tcPr>
          <w:p w14:paraId="32251D92">
            <w:pPr>
              <w:pStyle w:val="21"/>
              <w:keepNext w:val="0"/>
              <w:keepLines w:val="0"/>
              <w:pageBreakBefore w:val="0"/>
              <w:kinsoku/>
              <w:wordWrap/>
              <w:overflowPunct/>
              <w:topLinePunct w:val="0"/>
              <w:autoSpaceDE/>
              <w:autoSpaceDN/>
              <w:bidi w:val="0"/>
              <w:spacing w:line="300" w:lineRule="exact"/>
              <w:ind w:firstLine="0" w:firstLineChars="0"/>
              <w:jc w:val="center"/>
              <w:textAlignment w:val="auto"/>
              <w:rPr>
                <w:rFonts w:hint="eastAsia" w:ascii="宋体" w:hAnsi="宋体" w:eastAsia="宋体" w:cs="宋体"/>
                <w:sz w:val="21"/>
                <w:szCs w:val="21"/>
                <w:lang w:val="en-US" w:eastAsia="zh-CN"/>
              </w:rPr>
            </w:pPr>
            <w:r>
              <w:rPr>
                <w:rFonts w:hint="eastAsia"/>
                <w:color w:val="auto"/>
                <w:sz w:val="21"/>
                <w:szCs w:val="21"/>
                <w:lang w:val="en-US" w:eastAsia="zh-CN"/>
              </w:rPr>
              <w:t>/</w:t>
            </w:r>
          </w:p>
        </w:tc>
        <w:tc>
          <w:tcPr>
            <w:tcW w:w="1257" w:type="dxa"/>
            <w:shd w:val="clear" w:color="auto" w:fill="auto"/>
            <w:noWrap w:val="0"/>
            <w:tcMar>
              <w:top w:w="15" w:type="dxa"/>
              <w:left w:w="15" w:type="dxa"/>
              <w:bottom w:w="15" w:type="dxa"/>
              <w:right w:w="15" w:type="dxa"/>
            </w:tcMar>
            <w:vAlign w:val="center"/>
          </w:tcPr>
          <w:p w14:paraId="6B176D9E">
            <w:pPr>
              <w:pStyle w:val="21"/>
              <w:keepNext w:val="0"/>
              <w:keepLines w:val="0"/>
              <w:pageBreakBefore w:val="0"/>
              <w:kinsoku/>
              <w:wordWrap/>
              <w:overflowPunct/>
              <w:topLinePunct w:val="0"/>
              <w:autoSpaceDE/>
              <w:autoSpaceDN/>
              <w:bidi w:val="0"/>
              <w:spacing w:line="300" w:lineRule="exact"/>
              <w:ind w:firstLine="0" w:firstLineChars="0"/>
              <w:jc w:val="center"/>
              <w:textAlignment w:val="auto"/>
              <w:rPr>
                <w:rFonts w:hint="eastAsia" w:ascii="宋体" w:hAnsi="宋体" w:eastAsia="宋体" w:cs="宋体"/>
                <w:sz w:val="21"/>
                <w:szCs w:val="21"/>
                <w:lang w:val="en-US" w:eastAsia="zh-CN"/>
              </w:rPr>
            </w:pPr>
            <w:r>
              <w:rPr>
                <w:rFonts w:hint="eastAsia"/>
                <w:color w:val="auto"/>
                <w:sz w:val="21"/>
                <w:szCs w:val="21"/>
                <w:lang w:val="en-US" w:eastAsia="zh-CN"/>
              </w:rPr>
              <w:t>/</w:t>
            </w:r>
          </w:p>
        </w:tc>
        <w:tc>
          <w:tcPr>
            <w:tcW w:w="1579" w:type="dxa"/>
            <w:shd w:val="clear" w:color="auto" w:fill="auto"/>
            <w:noWrap w:val="0"/>
            <w:tcMar>
              <w:top w:w="15" w:type="dxa"/>
              <w:left w:w="15" w:type="dxa"/>
              <w:bottom w:w="15" w:type="dxa"/>
              <w:right w:w="15" w:type="dxa"/>
            </w:tcMar>
            <w:vAlign w:val="center"/>
          </w:tcPr>
          <w:p w14:paraId="50CDD5C6">
            <w:pPr>
              <w:pStyle w:val="21"/>
              <w:keepNext w:val="0"/>
              <w:keepLines w:val="0"/>
              <w:pageBreakBefore w:val="0"/>
              <w:kinsoku/>
              <w:wordWrap/>
              <w:overflowPunct/>
              <w:topLinePunct w:val="0"/>
              <w:autoSpaceDE/>
              <w:autoSpaceDN/>
              <w:bidi w:val="0"/>
              <w:spacing w:line="300" w:lineRule="exact"/>
              <w:ind w:firstLine="0" w:firstLineChars="0"/>
              <w:jc w:val="center"/>
              <w:textAlignment w:val="auto"/>
              <w:rPr>
                <w:rFonts w:hint="eastAsia" w:ascii="宋体" w:hAnsi="宋体" w:eastAsia="宋体" w:cs="宋体"/>
                <w:sz w:val="21"/>
                <w:szCs w:val="21"/>
                <w:lang w:val="en-US" w:eastAsia="zh-CN"/>
              </w:rPr>
            </w:pPr>
            <w:r>
              <w:rPr>
                <w:rFonts w:hint="eastAsia"/>
                <w:color w:val="auto"/>
                <w:sz w:val="21"/>
                <w:szCs w:val="21"/>
                <w:lang w:val="en-US" w:eastAsia="zh-CN"/>
              </w:rPr>
              <w:t>/</w:t>
            </w:r>
          </w:p>
        </w:tc>
      </w:tr>
    </w:tbl>
    <w:p w14:paraId="1C600E24">
      <w:pPr>
        <w:keepNext/>
        <w:keepLines/>
        <w:pageBreakBefore w:val="0"/>
        <w:widowControl w:val="0"/>
        <w:kinsoku/>
        <w:wordWrap/>
        <w:overflowPunct/>
        <w:topLinePunct w:val="0"/>
        <w:autoSpaceDE/>
        <w:autoSpaceDN/>
        <w:bidi w:val="0"/>
        <w:adjustRightInd/>
        <w:snapToGrid/>
        <w:spacing w:before="0" w:beforeLines="0" w:after="0" w:afterLines="0" w:line="360" w:lineRule="auto"/>
        <w:ind w:left="0"/>
        <w:jc w:val="left"/>
        <w:textAlignment w:val="auto"/>
        <w:outlineLvl w:val="1"/>
        <w:rPr>
          <w:rFonts w:hint="eastAsia" w:ascii="宋体" w:hAnsi="宋体" w:eastAsia="宋体" w:cs="宋体"/>
          <w:b/>
          <w:bCs/>
          <w:color w:val="auto"/>
          <w:kern w:val="2"/>
          <w:sz w:val="32"/>
          <w:szCs w:val="32"/>
          <w:lang w:val="en-US" w:eastAsia="zh-CN" w:bidi="ar-SA"/>
        </w:rPr>
      </w:pPr>
      <w:bookmarkStart w:id="30" w:name="_Toc11420"/>
      <w:r>
        <w:rPr>
          <w:rFonts w:hint="eastAsia" w:ascii="宋体" w:hAnsi="宋体" w:eastAsia="宋体" w:cs="宋体"/>
          <w:b/>
          <w:bCs/>
          <w:color w:val="auto"/>
          <w:kern w:val="2"/>
          <w:sz w:val="32"/>
          <w:szCs w:val="32"/>
          <w:lang w:val="en-US" w:eastAsia="zh-CN" w:bidi="ar-SA"/>
        </w:rPr>
        <w:t>2.3 饮用水水源地规范化建设现状调查</w:t>
      </w:r>
      <w:bookmarkEnd w:id="30"/>
    </w:p>
    <w:p w14:paraId="44E13C8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（1）保护区标志、隔离防护设置情况</w:t>
      </w:r>
    </w:p>
    <w:p w14:paraId="50124AA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已根据《饮用水水源保护区标志技术要求（HJ／T_433-2008）》的要求设置一级、二级保护区边界标志牌；隔离防护栏等。</w:t>
      </w:r>
    </w:p>
    <w:p w14:paraId="293B58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 xml:space="preserve">表 2.3-1 河堰镇水源地保护区标志、隔离防护措施 </w:t>
      </w:r>
    </w:p>
    <w:tbl>
      <w:tblPr>
        <w:tblStyle w:val="15"/>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554"/>
        <w:gridCol w:w="5846"/>
      </w:tblGrid>
      <w:tr w14:paraId="6E53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2658" w:type="dxa"/>
            <w:gridSpan w:val="2"/>
            <w:noWrap w:val="0"/>
            <w:vAlign w:val="center"/>
          </w:tcPr>
          <w:p w14:paraId="5B095485">
            <w:pPr>
              <w:pStyle w:val="20"/>
              <w:spacing w:line="300" w:lineRule="exact"/>
              <w:ind w:firstLine="0" w:firstLineChars="0"/>
              <w:jc w:val="center"/>
              <w:rPr>
                <w:rFonts w:hint="eastAsia" w:ascii="宋体" w:hAnsi="宋体"/>
                <w:b/>
                <w:bCs/>
                <w:color w:val="auto"/>
                <w:lang w:val="en-US" w:eastAsia="zh-CN"/>
              </w:rPr>
            </w:pPr>
            <w:r>
              <w:rPr>
                <w:rFonts w:hint="eastAsia" w:ascii="宋体" w:hAnsi="宋体"/>
                <w:b/>
                <w:bCs/>
                <w:color w:val="auto"/>
                <w:lang w:val="en-US" w:eastAsia="zh-CN"/>
              </w:rPr>
              <w:t>水源地</w:t>
            </w:r>
          </w:p>
        </w:tc>
        <w:tc>
          <w:tcPr>
            <w:tcW w:w="5846" w:type="dxa"/>
            <w:noWrap w:val="0"/>
            <w:vAlign w:val="center"/>
          </w:tcPr>
          <w:p w14:paraId="27EFF718">
            <w:pPr>
              <w:pStyle w:val="20"/>
              <w:spacing w:line="300" w:lineRule="exact"/>
              <w:ind w:firstLine="0" w:firstLineChars="0"/>
              <w:jc w:val="center"/>
              <w:rPr>
                <w:rFonts w:hint="default" w:ascii="宋体" w:hAnsi="宋体"/>
                <w:b/>
                <w:bCs/>
                <w:color w:val="auto"/>
                <w:lang w:val="en-US"/>
              </w:rPr>
            </w:pPr>
            <w:r>
              <w:rPr>
                <w:rFonts w:hint="eastAsia" w:ascii="宋体" w:hAnsi="宋体"/>
                <w:b/>
                <w:bCs/>
                <w:color w:val="auto"/>
                <w:sz w:val="21"/>
                <w:szCs w:val="21"/>
                <w:lang w:val="en-US" w:eastAsia="zh-CN"/>
              </w:rPr>
              <w:t>保护区</w:t>
            </w:r>
            <w:r>
              <w:rPr>
                <w:rFonts w:hint="eastAsia" w:ascii="宋体" w:hAnsi="宋体"/>
                <w:b/>
                <w:bCs/>
                <w:color w:val="auto"/>
                <w:sz w:val="21"/>
                <w:szCs w:val="21"/>
              </w:rPr>
              <w:t>标志、隔离防护</w:t>
            </w:r>
            <w:r>
              <w:rPr>
                <w:rFonts w:hint="eastAsia" w:ascii="宋体" w:hAnsi="宋体"/>
                <w:b/>
                <w:bCs/>
                <w:color w:val="auto"/>
                <w:sz w:val="21"/>
                <w:szCs w:val="21"/>
                <w:lang w:val="en-US" w:eastAsia="zh-CN"/>
              </w:rPr>
              <w:t>措施照片</w:t>
            </w:r>
          </w:p>
        </w:tc>
      </w:tr>
      <w:tr w14:paraId="6343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0" w:hRule="atLeast"/>
          <w:tblHeader/>
          <w:jc w:val="center"/>
        </w:trPr>
        <w:tc>
          <w:tcPr>
            <w:tcW w:w="1104" w:type="dxa"/>
            <w:noWrap w:val="0"/>
            <w:vAlign w:val="center"/>
          </w:tcPr>
          <w:p w14:paraId="2C727A3B">
            <w:pPr>
              <w:pStyle w:val="20"/>
              <w:spacing w:line="300" w:lineRule="exact"/>
              <w:ind w:firstLine="0" w:firstLineChars="0"/>
              <w:jc w:val="center"/>
              <w:rPr>
                <w:rFonts w:hint="default" w:ascii="宋体" w:hAnsi="宋体"/>
                <w:color w:val="auto"/>
                <w:sz w:val="28"/>
                <w:szCs w:val="28"/>
                <w:lang w:val="en-US" w:eastAsia="zh-CN"/>
              </w:rPr>
            </w:pPr>
            <w:r>
              <w:rPr>
                <w:rFonts w:hint="eastAsia" w:ascii="宋体" w:hAnsi="宋体"/>
                <w:color w:val="auto"/>
                <w:sz w:val="21"/>
                <w:szCs w:val="21"/>
                <w:lang w:val="en-US" w:eastAsia="zh-CN"/>
              </w:rPr>
              <w:t>开州区河堰镇双龙洞地下水河堰供水站水源地</w:t>
            </w:r>
          </w:p>
        </w:tc>
        <w:tc>
          <w:tcPr>
            <w:tcW w:w="1554" w:type="dxa"/>
            <w:noWrap w:val="0"/>
            <w:vAlign w:val="center"/>
          </w:tcPr>
          <w:p w14:paraId="06799394">
            <w:pPr>
              <w:pStyle w:val="20"/>
              <w:spacing w:line="300" w:lineRule="exact"/>
              <w:ind w:firstLine="0" w:firstLineChars="0"/>
              <w:jc w:val="center"/>
              <w:rPr>
                <w:rFonts w:hint="eastAsia" w:ascii="宋体" w:hAnsi="宋体"/>
                <w:color w:val="auto"/>
                <w:sz w:val="21"/>
                <w:szCs w:val="21"/>
                <w:lang w:val="en-US" w:eastAsia="zh-CN"/>
              </w:rPr>
            </w:pPr>
            <w:r>
              <w:rPr>
                <w:rFonts w:hint="eastAsia" w:ascii="宋体" w:hAnsi="宋体"/>
                <w:color w:val="auto"/>
                <w:sz w:val="21"/>
                <w:szCs w:val="21"/>
                <w:lang w:val="en-US" w:eastAsia="zh-CN"/>
              </w:rPr>
              <w:t>一级保护区标识</w:t>
            </w:r>
          </w:p>
        </w:tc>
        <w:tc>
          <w:tcPr>
            <w:tcW w:w="5846" w:type="dxa"/>
            <w:noWrap w:val="0"/>
            <w:vAlign w:val="center"/>
          </w:tcPr>
          <w:p w14:paraId="492DCB4C">
            <w:pPr>
              <w:pStyle w:val="20"/>
              <w:spacing w:line="300" w:lineRule="exact"/>
              <w:ind w:firstLine="0" w:firstLineChars="0"/>
              <w:jc w:val="both"/>
              <w:rPr>
                <w:rFonts w:hint="eastAsia"/>
                <w:color w:val="auto"/>
                <w:lang w:val="en-US" w:eastAsia="zh-CN"/>
              </w:rPr>
            </w:pPr>
            <w:r>
              <w:rPr>
                <w:rFonts w:hint="eastAsia"/>
                <w:color w:val="auto"/>
                <w:lang w:val="en-US" w:eastAsia="zh-CN"/>
              </w:rPr>
              <w:drawing>
                <wp:anchor distT="0" distB="0" distL="114300" distR="114300" simplePos="0" relativeHeight="251666432" behindDoc="0" locked="0" layoutInCell="1" allowOverlap="1">
                  <wp:simplePos x="0" y="0"/>
                  <wp:positionH relativeFrom="column">
                    <wp:posOffset>-10160</wp:posOffset>
                  </wp:positionH>
                  <wp:positionV relativeFrom="paragraph">
                    <wp:posOffset>-67945</wp:posOffset>
                  </wp:positionV>
                  <wp:extent cx="2962910" cy="2223135"/>
                  <wp:effectExtent l="0" t="0" r="8890" b="5715"/>
                  <wp:wrapTopAndBottom/>
                  <wp:docPr id="3" name="图片 3" descr="146bb38a0037bc8942b09a66bc4ebf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46bb38a0037bc8942b09a66bc4ebf1a"/>
                          <pic:cNvPicPr>
                            <a:picLocks noChangeAspect="1"/>
                          </pic:cNvPicPr>
                        </pic:nvPicPr>
                        <pic:blipFill>
                          <a:blip r:embed="rId12"/>
                          <a:stretch>
                            <a:fillRect/>
                          </a:stretch>
                        </pic:blipFill>
                        <pic:spPr>
                          <a:xfrm>
                            <a:off x="0" y="0"/>
                            <a:ext cx="2962910" cy="2223135"/>
                          </a:xfrm>
                          <a:prstGeom prst="rect">
                            <a:avLst/>
                          </a:prstGeom>
                        </pic:spPr>
                      </pic:pic>
                    </a:graphicData>
                  </a:graphic>
                </wp:anchor>
              </w:drawing>
            </w:r>
          </w:p>
        </w:tc>
      </w:tr>
      <w:tr w14:paraId="09F2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0" w:hRule="atLeast"/>
          <w:tblHeader/>
          <w:jc w:val="center"/>
        </w:trPr>
        <w:tc>
          <w:tcPr>
            <w:tcW w:w="1104" w:type="dxa"/>
            <w:vMerge w:val="restart"/>
            <w:noWrap w:val="0"/>
            <w:vAlign w:val="center"/>
          </w:tcPr>
          <w:p w14:paraId="3F0C562B">
            <w:pPr>
              <w:pStyle w:val="20"/>
              <w:spacing w:line="300" w:lineRule="exact"/>
              <w:ind w:firstLine="0" w:firstLineChars="0"/>
              <w:jc w:val="center"/>
              <w:rPr>
                <w:rFonts w:hint="eastAsia" w:ascii="宋体" w:hAnsi="宋体"/>
                <w:color w:val="auto"/>
                <w:sz w:val="21"/>
                <w:szCs w:val="21"/>
                <w:lang w:val="en-US" w:eastAsia="zh-CN"/>
              </w:rPr>
            </w:pPr>
            <w:r>
              <w:rPr>
                <w:rFonts w:hint="eastAsia" w:ascii="宋体" w:hAnsi="宋体"/>
                <w:color w:val="auto"/>
                <w:sz w:val="21"/>
                <w:szCs w:val="21"/>
                <w:lang w:val="en-US" w:eastAsia="zh-CN"/>
              </w:rPr>
              <w:t>开州区河堰镇双龙洞地下水河堰供水站水源地</w:t>
            </w:r>
          </w:p>
        </w:tc>
        <w:tc>
          <w:tcPr>
            <w:tcW w:w="1554" w:type="dxa"/>
            <w:noWrap w:val="0"/>
            <w:vAlign w:val="center"/>
          </w:tcPr>
          <w:p w14:paraId="66064BAD">
            <w:pPr>
              <w:pStyle w:val="20"/>
              <w:spacing w:line="300" w:lineRule="exact"/>
              <w:ind w:firstLine="0" w:firstLineChars="0"/>
              <w:jc w:val="center"/>
              <w:rPr>
                <w:rFonts w:hint="eastAsia" w:ascii="宋体" w:hAnsi="宋体"/>
                <w:color w:val="auto"/>
                <w:sz w:val="21"/>
                <w:szCs w:val="21"/>
                <w:lang w:val="en-US" w:eastAsia="zh-CN"/>
              </w:rPr>
            </w:pPr>
            <w:r>
              <w:rPr>
                <w:rFonts w:hint="eastAsia" w:ascii="宋体" w:hAnsi="宋体"/>
                <w:color w:val="auto"/>
                <w:sz w:val="21"/>
                <w:szCs w:val="21"/>
                <w:lang w:val="en-US" w:eastAsia="zh-CN"/>
              </w:rPr>
              <w:t>一级保护区标识</w:t>
            </w:r>
          </w:p>
        </w:tc>
        <w:tc>
          <w:tcPr>
            <w:tcW w:w="5846" w:type="dxa"/>
            <w:noWrap w:val="0"/>
            <w:vAlign w:val="center"/>
          </w:tcPr>
          <w:p w14:paraId="3621D3F5">
            <w:pPr>
              <w:pStyle w:val="20"/>
              <w:spacing w:line="300" w:lineRule="exact"/>
              <w:ind w:firstLine="0" w:firstLineChars="0"/>
              <w:jc w:val="both"/>
              <w:rPr>
                <w:rFonts w:hint="eastAsia"/>
                <w:color w:val="auto"/>
                <w:lang w:val="en-US" w:eastAsia="zh-CN"/>
              </w:rPr>
            </w:pPr>
            <w:r>
              <w:rPr>
                <w:rFonts w:hint="eastAsia"/>
                <w:color w:val="auto"/>
                <w:lang w:val="en-US" w:eastAsia="zh-CN"/>
              </w:rPr>
              <w:drawing>
                <wp:anchor distT="0" distB="0" distL="114300" distR="114300" simplePos="0" relativeHeight="251667456" behindDoc="0" locked="0" layoutInCell="1" allowOverlap="1">
                  <wp:simplePos x="0" y="0"/>
                  <wp:positionH relativeFrom="column">
                    <wp:posOffset>0</wp:posOffset>
                  </wp:positionH>
                  <wp:positionV relativeFrom="paragraph">
                    <wp:posOffset>-1273175</wp:posOffset>
                  </wp:positionV>
                  <wp:extent cx="3537585" cy="2653030"/>
                  <wp:effectExtent l="0" t="0" r="5715" b="13970"/>
                  <wp:wrapTopAndBottom/>
                  <wp:docPr id="4" name="图片 4" descr="334725e95ed4742814a93e9c3a38ce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34725e95ed4742814a93e9c3a38ce6f"/>
                          <pic:cNvPicPr>
                            <a:picLocks noChangeAspect="1"/>
                          </pic:cNvPicPr>
                        </pic:nvPicPr>
                        <pic:blipFill>
                          <a:blip r:embed="rId13"/>
                          <a:stretch>
                            <a:fillRect/>
                          </a:stretch>
                        </pic:blipFill>
                        <pic:spPr>
                          <a:xfrm>
                            <a:off x="0" y="0"/>
                            <a:ext cx="3537585" cy="2653030"/>
                          </a:xfrm>
                          <a:prstGeom prst="rect">
                            <a:avLst/>
                          </a:prstGeom>
                        </pic:spPr>
                      </pic:pic>
                    </a:graphicData>
                  </a:graphic>
                </wp:anchor>
              </w:drawing>
            </w:r>
          </w:p>
        </w:tc>
      </w:tr>
      <w:tr w14:paraId="29B9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6" w:hRule="atLeast"/>
          <w:tblHeader/>
          <w:jc w:val="center"/>
        </w:trPr>
        <w:tc>
          <w:tcPr>
            <w:tcW w:w="1104" w:type="dxa"/>
            <w:vMerge w:val="continue"/>
            <w:noWrap w:val="0"/>
            <w:vAlign w:val="center"/>
          </w:tcPr>
          <w:p w14:paraId="1A7CE1BC">
            <w:pPr>
              <w:pStyle w:val="20"/>
              <w:spacing w:line="300" w:lineRule="exact"/>
              <w:ind w:firstLine="0" w:firstLineChars="0"/>
              <w:jc w:val="center"/>
              <w:rPr>
                <w:rFonts w:hint="eastAsia" w:ascii="宋体" w:hAnsi="宋体"/>
                <w:color w:val="auto"/>
                <w:sz w:val="21"/>
                <w:szCs w:val="21"/>
                <w:lang w:val="en-US" w:eastAsia="zh-CN"/>
              </w:rPr>
            </w:pPr>
          </w:p>
        </w:tc>
        <w:tc>
          <w:tcPr>
            <w:tcW w:w="1554" w:type="dxa"/>
            <w:noWrap w:val="0"/>
            <w:vAlign w:val="center"/>
          </w:tcPr>
          <w:p w14:paraId="3C86154C">
            <w:pPr>
              <w:pStyle w:val="20"/>
              <w:spacing w:line="300" w:lineRule="exact"/>
              <w:ind w:firstLine="0" w:firstLineChars="0"/>
              <w:jc w:val="center"/>
              <w:rPr>
                <w:rFonts w:hint="eastAsia" w:ascii="宋体" w:hAnsi="宋体"/>
                <w:color w:val="auto"/>
                <w:sz w:val="21"/>
                <w:szCs w:val="21"/>
                <w:lang w:val="en-US" w:eastAsia="zh-CN"/>
              </w:rPr>
            </w:pPr>
            <w:r>
              <w:rPr>
                <w:rFonts w:hint="eastAsia" w:ascii="宋体" w:hAnsi="宋体"/>
                <w:color w:val="auto"/>
                <w:sz w:val="21"/>
                <w:szCs w:val="21"/>
                <w:lang w:val="en-US" w:eastAsia="zh-CN"/>
              </w:rPr>
              <w:t>二级保护区标识</w:t>
            </w:r>
          </w:p>
        </w:tc>
        <w:tc>
          <w:tcPr>
            <w:tcW w:w="5846" w:type="dxa"/>
            <w:noWrap w:val="0"/>
            <w:vAlign w:val="center"/>
          </w:tcPr>
          <w:p w14:paraId="329E4EC3">
            <w:pPr>
              <w:pStyle w:val="20"/>
              <w:spacing w:line="300" w:lineRule="exact"/>
              <w:ind w:firstLine="0" w:firstLineChars="0"/>
              <w:jc w:val="both"/>
              <w:rPr>
                <w:rFonts w:hint="eastAsia"/>
                <w:color w:val="auto"/>
                <w:lang w:val="en-US" w:eastAsia="zh-CN"/>
              </w:rPr>
            </w:pPr>
            <w:r>
              <w:rPr>
                <w:rFonts w:hint="eastAsia"/>
                <w:color w:val="auto"/>
                <w:lang w:val="en-US" w:eastAsia="zh-CN"/>
              </w:rPr>
              <w:drawing>
                <wp:anchor distT="0" distB="0" distL="114300" distR="114300" simplePos="0" relativeHeight="251667456" behindDoc="0" locked="0" layoutInCell="1" allowOverlap="1">
                  <wp:simplePos x="0" y="0"/>
                  <wp:positionH relativeFrom="column">
                    <wp:posOffset>0</wp:posOffset>
                  </wp:positionH>
                  <wp:positionV relativeFrom="paragraph">
                    <wp:posOffset>-1273175</wp:posOffset>
                  </wp:positionV>
                  <wp:extent cx="3537585" cy="2653030"/>
                  <wp:effectExtent l="0" t="0" r="5715" b="13970"/>
                  <wp:wrapTopAndBottom/>
                  <wp:docPr id="6" name="图片 6" descr="ca47a9dfff3026dee2ea234f9c0df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a47a9dfff3026dee2ea234f9c0dfd58"/>
                          <pic:cNvPicPr>
                            <a:picLocks noChangeAspect="1"/>
                          </pic:cNvPicPr>
                        </pic:nvPicPr>
                        <pic:blipFill>
                          <a:blip r:embed="rId14"/>
                          <a:stretch>
                            <a:fillRect/>
                          </a:stretch>
                        </pic:blipFill>
                        <pic:spPr>
                          <a:xfrm>
                            <a:off x="0" y="0"/>
                            <a:ext cx="3537585" cy="2653030"/>
                          </a:xfrm>
                          <a:prstGeom prst="rect">
                            <a:avLst/>
                          </a:prstGeom>
                        </pic:spPr>
                      </pic:pic>
                    </a:graphicData>
                  </a:graphic>
                </wp:anchor>
              </w:drawing>
            </w:r>
          </w:p>
        </w:tc>
      </w:tr>
      <w:tr w14:paraId="1406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6" w:hRule="atLeast"/>
          <w:tblHeader/>
          <w:jc w:val="center"/>
        </w:trPr>
        <w:tc>
          <w:tcPr>
            <w:tcW w:w="1104" w:type="dxa"/>
            <w:vMerge w:val="continue"/>
            <w:noWrap w:val="0"/>
            <w:vAlign w:val="center"/>
          </w:tcPr>
          <w:p w14:paraId="66F9AD91">
            <w:pPr>
              <w:pStyle w:val="20"/>
              <w:spacing w:line="300" w:lineRule="exact"/>
              <w:ind w:firstLine="0" w:firstLineChars="0"/>
              <w:jc w:val="center"/>
              <w:rPr>
                <w:rFonts w:hint="default" w:ascii="宋体" w:hAnsi="宋体"/>
                <w:color w:val="auto"/>
                <w:sz w:val="28"/>
                <w:szCs w:val="28"/>
                <w:lang w:val="en-US" w:eastAsia="zh-CN"/>
              </w:rPr>
            </w:pPr>
          </w:p>
        </w:tc>
        <w:tc>
          <w:tcPr>
            <w:tcW w:w="1554" w:type="dxa"/>
            <w:noWrap w:val="0"/>
            <w:vAlign w:val="center"/>
          </w:tcPr>
          <w:p w14:paraId="792D5ED8">
            <w:pPr>
              <w:pStyle w:val="20"/>
              <w:spacing w:line="300" w:lineRule="exact"/>
              <w:ind w:firstLine="0" w:firstLineChars="0"/>
              <w:jc w:val="center"/>
              <w:rPr>
                <w:rFonts w:hint="default" w:ascii="宋体" w:hAnsi="宋体"/>
                <w:color w:val="auto"/>
                <w:sz w:val="21"/>
                <w:szCs w:val="21"/>
                <w:lang w:val="en-US" w:eastAsia="zh-CN"/>
              </w:rPr>
            </w:pPr>
            <w:r>
              <w:rPr>
                <w:rFonts w:hint="eastAsia" w:ascii="宋体" w:hAnsi="宋体"/>
                <w:color w:val="auto"/>
                <w:sz w:val="21"/>
                <w:szCs w:val="21"/>
                <w:lang w:val="en-US" w:eastAsia="zh-CN"/>
              </w:rPr>
              <w:t>取水口标识</w:t>
            </w:r>
          </w:p>
        </w:tc>
        <w:tc>
          <w:tcPr>
            <w:tcW w:w="5846" w:type="dxa"/>
            <w:noWrap w:val="0"/>
            <w:vAlign w:val="center"/>
          </w:tcPr>
          <w:p w14:paraId="062D9D9E">
            <w:pPr>
              <w:pStyle w:val="20"/>
              <w:spacing w:line="300" w:lineRule="exact"/>
              <w:ind w:firstLine="0" w:firstLineChars="0"/>
              <w:jc w:val="center"/>
              <w:rPr>
                <w:rFonts w:hint="eastAsia"/>
                <w:color w:val="auto"/>
                <w:lang w:val="en-US" w:eastAsia="zh-CN"/>
              </w:rPr>
            </w:pPr>
            <w:r>
              <w:rPr>
                <w:rFonts w:hint="eastAsia"/>
                <w:color w:val="auto"/>
                <w:lang w:val="en-US" w:eastAsia="zh-CN"/>
              </w:rPr>
              <w:drawing>
                <wp:anchor distT="0" distB="0" distL="114300" distR="114300" simplePos="0" relativeHeight="251668480" behindDoc="0" locked="0" layoutInCell="1" allowOverlap="1">
                  <wp:simplePos x="0" y="0"/>
                  <wp:positionH relativeFrom="column">
                    <wp:posOffset>-21590</wp:posOffset>
                  </wp:positionH>
                  <wp:positionV relativeFrom="paragraph">
                    <wp:posOffset>96520</wp:posOffset>
                  </wp:positionV>
                  <wp:extent cx="3537585" cy="2653030"/>
                  <wp:effectExtent l="0" t="0" r="5715" b="13970"/>
                  <wp:wrapTopAndBottom/>
                  <wp:docPr id="7" name="图片 7" descr="cb4b3493258f378c4f2cacccc2b7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b4b3493258f378c4f2cacccc2b73396"/>
                          <pic:cNvPicPr>
                            <a:picLocks noChangeAspect="1"/>
                          </pic:cNvPicPr>
                        </pic:nvPicPr>
                        <pic:blipFill>
                          <a:blip r:embed="rId15"/>
                          <a:stretch>
                            <a:fillRect/>
                          </a:stretch>
                        </pic:blipFill>
                        <pic:spPr>
                          <a:xfrm>
                            <a:off x="0" y="0"/>
                            <a:ext cx="3537585" cy="2653030"/>
                          </a:xfrm>
                          <a:prstGeom prst="rect">
                            <a:avLst/>
                          </a:prstGeom>
                        </pic:spPr>
                      </pic:pic>
                    </a:graphicData>
                  </a:graphic>
                </wp:anchor>
              </w:drawing>
            </w:r>
          </w:p>
        </w:tc>
      </w:tr>
      <w:tr w14:paraId="63D2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8" w:hRule="atLeast"/>
          <w:tblHeader/>
          <w:jc w:val="center"/>
        </w:trPr>
        <w:tc>
          <w:tcPr>
            <w:tcW w:w="1104" w:type="dxa"/>
            <w:vMerge w:val="restart"/>
            <w:noWrap w:val="0"/>
            <w:vAlign w:val="center"/>
          </w:tcPr>
          <w:p w14:paraId="20118E5A">
            <w:pPr>
              <w:pStyle w:val="20"/>
              <w:spacing w:line="300" w:lineRule="exact"/>
              <w:ind w:firstLine="0" w:firstLineChars="0"/>
              <w:jc w:val="center"/>
              <w:rPr>
                <w:rFonts w:hint="eastAsia" w:ascii="宋体" w:hAnsi="宋体"/>
                <w:color w:val="auto"/>
                <w:sz w:val="21"/>
                <w:szCs w:val="21"/>
                <w:lang w:val="en-US" w:eastAsia="zh-CN"/>
              </w:rPr>
            </w:pPr>
            <w:r>
              <w:rPr>
                <w:rFonts w:hint="eastAsia" w:ascii="宋体" w:hAnsi="宋体"/>
                <w:color w:val="auto"/>
                <w:sz w:val="21"/>
                <w:szCs w:val="21"/>
                <w:lang w:val="en-US" w:eastAsia="zh-CN"/>
              </w:rPr>
              <w:t>开州区河堰镇双龙洞地下水河堰供水站水源地</w:t>
            </w:r>
          </w:p>
        </w:tc>
        <w:tc>
          <w:tcPr>
            <w:tcW w:w="1554" w:type="dxa"/>
            <w:noWrap w:val="0"/>
            <w:vAlign w:val="center"/>
          </w:tcPr>
          <w:p w14:paraId="1B262FB6">
            <w:pPr>
              <w:pStyle w:val="20"/>
              <w:spacing w:line="300" w:lineRule="exact"/>
              <w:ind w:firstLine="0" w:firstLineChars="0"/>
              <w:jc w:val="center"/>
              <w:rPr>
                <w:rFonts w:hint="default" w:ascii="宋体" w:hAnsi="宋体"/>
                <w:color w:val="auto"/>
                <w:sz w:val="21"/>
                <w:szCs w:val="21"/>
                <w:lang w:val="en-US" w:eastAsia="zh-CN"/>
              </w:rPr>
            </w:pPr>
            <w:r>
              <w:rPr>
                <w:rFonts w:hint="eastAsia" w:ascii="宋体" w:hAnsi="宋体"/>
                <w:color w:val="auto"/>
                <w:sz w:val="21"/>
                <w:szCs w:val="21"/>
                <w:lang w:val="en-US" w:eastAsia="zh-CN"/>
              </w:rPr>
              <w:t>取水口位置</w:t>
            </w:r>
          </w:p>
        </w:tc>
        <w:tc>
          <w:tcPr>
            <w:tcW w:w="5846" w:type="dxa"/>
            <w:noWrap w:val="0"/>
            <w:vAlign w:val="center"/>
          </w:tcPr>
          <w:p w14:paraId="36168225">
            <w:pPr>
              <w:pStyle w:val="20"/>
              <w:spacing w:line="300" w:lineRule="exact"/>
              <w:ind w:firstLine="0" w:firstLineChars="0"/>
              <w:jc w:val="center"/>
              <w:rPr>
                <w:rFonts w:hint="eastAsia"/>
                <w:color w:val="auto"/>
                <w:lang w:val="en-US" w:eastAsia="zh-CN"/>
              </w:rPr>
            </w:pPr>
            <w:r>
              <w:rPr>
                <w:rFonts w:hint="eastAsia"/>
                <w:color w:val="auto"/>
                <w:lang w:val="en-US" w:eastAsia="zh-CN"/>
              </w:rPr>
              <w:drawing>
                <wp:anchor distT="0" distB="0" distL="114300" distR="114300" simplePos="0" relativeHeight="251669504" behindDoc="0" locked="0" layoutInCell="1" allowOverlap="1">
                  <wp:simplePos x="0" y="0"/>
                  <wp:positionH relativeFrom="column">
                    <wp:posOffset>15875</wp:posOffset>
                  </wp:positionH>
                  <wp:positionV relativeFrom="paragraph">
                    <wp:posOffset>-1273175</wp:posOffset>
                  </wp:positionV>
                  <wp:extent cx="3537585" cy="2653030"/>
                  <wp:effectExtent l="0" t="0" r="5715" b="13970"/>
                  <wp:wrapTopAndBottom/>
                  <wp:docPr id="8" name="图片 8" descr="711e89e3bd6fb855b62df8af6f9ea3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11e89e3bd6fb855b62df8af6f9ea3f8"/>
                          <pic:cNvPicPr>
                            <a:picLocks noChangeAspect="1"/>
                          </pic:cNvPicPr>
                        </pic:nvPicPr>
                        <pic:blipFill>
                          <a:blip r:embed="rId16"/>
                          <a:stretch>
                            <a:fillRect/>
                          </a:stretch>
                        </pic:blipFill>
                        <pic:spPr>
                          <a:xfrm>
                            <a:off x="0" y="0"/>
                            <a:ext cx="3537585" cy="2653030"/>
                          </a:xfrm>
                          <a:prstGeom prst="rect">
                            <a:avLst/>
                          </a:prstGeom>
                        </pic:spPr>
                      </pic:pic>
                    </a:graphicData>
                  </a:graphic>
                </wp:anchor>
              </w:drawing>
            </w:r>
          </w:p>
        </w:tc>
      </w:tr>
      <w:tr w14:paraId="32B4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8" w:hRule="atLeast"/>
          <w:tblHeader/>
          <w:jc w:val="center"/>
        </w:trPr>
        <w:tc>
          <w:tcPr>
            <w:tcW w:w="1104" w:type="dxa"/>
            <w:vMerge w:val="continue"/>
            <w:noWrap w:val="0"/>
            <w:vAlign w:val="center"/>
          </w:tcPr>
          <w:p w14:paraId="415C1B6D">
            <w:pPr>
              <w:pStyle w:val="20"/>
              <w:spacing w:line="300" w:lineRule="exact"/>
              <w:ind w:firstLine="0" w:firstLineChars="0"/>
              <w:jc w:val="center"/>
              <w:rPr>
                <w:rFonts w:hint="eastAsia" w:ascii="宋体" w:hAnsi="宋体"/>
                <w:color w:val="auto"/>
                <w:sz w:val="21"/>
                <w:szCs w:val="21"/>
                <w:lang w:val="en-US" w:eastAsia="zh-CN"/>
              </w:rPr>
            </w:pPr>
          </w:p>
        </w:tc>
        <w:tc>
          <w:tcPr>
            <w:tcW w:w="1554" w:type="dxa"/>
            <w:noWrap w:val="0"/>
            <w:vAlign w:val="center"/>
          </w:tcPr>
          <w:p w14:paraId="196723C7">
            <w:pPr>
              <w:pStyle w:val="20"/>
              <w:spacing w:line="300" w:lineRule="exact"/>
              <w:ind w:firstLine="0" w:firstLineChars="0"/>
              <w:jc w:val="center"/>
              <w:rPr>
                <w:rFonts w:hint="default" w:ascii="宋体" w:hAnsi="宋体"/>
                <w:color w:val="auto"/>
                <w:sz w:val="21"/>
                <w:szCs w:val="21"/>
                <w:lang w:val="en-US" w:eastAsia="zh-CN"/>
              </w:rPr>
            </w:pPr>
            <w:r>
              <w:rPr>
                <w:rFonts w:hint="eastAsia" w:ascii="宋体" w:hAnsi="宋体"/>
                <w:color w:val="auto"/>
                <w:sz w:val="21"/>
                <w:szCs w:val="21"/>
                <w:lang w:val="en-US" w:eastAsia="zh-CN"/>
              </w:rPr>
              <w:t>取水点监控摄像头</w:t>
            </w:r>
          </w:p>
        </w:tc>
        <w:tc>
          <w:tcPr>
            <w:tcW w:w="5846" w:type="dxa"/>
            <w:noWrap w:val="0"/>
            <w:vAlign w:val="center"/>
          </w:tcPr>
          <w:p w14:paraId="0B5B36A6">
            <w:pPr>
              <w:pStyle w:val="20"/>
              <w:spacing w:line="300" w:lineRule="exact"/>
              <w:ind w:firstLine="0" w:firstLineChars="0"/>
              <w:jc w:val="center"/>
              <w:rPr>
                <w:rFonts w:hint="eastAsia"/>
                <w:color w:val="auto"/>
                <w:lang w:val="en-US" w:eastAsia="zh-CN"/>
              </w:rPr>
            </w:pPr>
            <w:r>
              <w:rPr>
                <w:rFonts w:hint="eastAsia"/>
                <w:color w:val="auto"/>
                <w:lang w:val="en-US" w:eastAsia="zh-CN"/>
              </w:rPr>
              <w:drawing>
                <wp:anchor distT="0" distB="0" distL="114300" distR="114300" simplePos="0" relativeHeight="251671552" behindDoc="0" locked="0" layoutInCell="1" allowOverlap="1">
                  <wp:simplePos x="0" y="0"/>
                  <wp:positionH relativeFrom="column">
                    <wp:posOffset>15875</wp:posOffset>
                  </wp:positionH>
                  <wp:positionV relativeFrom="paragraph">
                    <wp:posOffset>133350</wp:posOffset>
                  </wp:positionV>
                  <wp:extent cx="3537585" cy="2653030"/>
                  <wp:effectExtent l="0" t="0" r="5715" b="13970"/>
                  <wp:wrapTopAndBottom/>
                  <wp:docPr id="9" name="图片 9" descr="3b1d375f922634f10defa0aba526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b1d375f922634f10defa0aba5262030"/>
                          <pic:cNvPicPr>
                            <a:picLocks noChangeAspect="1"/>
                          </pic:cNvPicPr>
                        </pic:nvPicPr>
                        <pic:blipFill>
                          <a:blip r:embed="rId17"/>
                          <a:stretch>
                            <a:fillRect/>
                          </a:stretch>
                        </pic:blipFill>
                        <pic:spPr>
                          <a:xfrm>
                            <a:off x="0" y="0"/>
                            <a:ext cx="3537585" cy="2653030"/>
                          </a:xfrm>
                          <a:prstGeom prst="rect">
                            <a:avLst/>
                          </a:prstGeom>
                        </pic:spPr>
                      </pic:pic>
                    </a:graphicData>
                  </a:graphic>
                </wp:anchor>
              </w:drawing>
            </w:r>
          </w:p>
        </w:tc>
      </w:tr>
      <w:tr w14:paraId="0167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tblHeader/>
          <w:jc w:val="center"/>
        </w:trPr>
        <w:tc>
          <w:tcPr>
            <w:tcW w:w="1104" w:type="dxa"/>
            <w:vMerge w:val="restart"/>
            <w:noWrap w:val="0"/>
            <w:vAlign w:val="center"/>
          </w:tcPr>
          <w:p w14:paraId="238708EC">
            <w:pPr>
              <w:pStyle w:val="20"/>
              <w:spacing w:line="300" w:lineRule="exact"/>
              <w:ind w:firstLine="0" w:firstLineChars="0"/>
              <w:jc w:val="center"/>
              <w:rPr>
                <w:rFonts w:hint="eastAsia" w:ascii="宋体" w:hAnsi="宋体"/>
                <w:color w:val="auto"/>
                <w:sz w:val="21"/>
                <w:szCs w:val="21"/>
                <w:lang w:val="en-US" w:eastAsia="zh-CN"/>
              </w:rPr>
            </w:pPr>
            <w:r>
              <w:rPr>
                <w:rFonts w:hint="eastAsia" w:ascii="宋体" w:hAnsi="宋体"/>
                <w:color w:val="auto"/>
                <w:sz w:val="21"/>
                <w:szCs w:val="21"/>
                <w:lang w:val="en-US" w:eastAsia="zh-CN"/>
              </w:rPr>
              <w:t>开州区河堰镇双龙洞地下水河堰供水站水源地</w:t>
            </w:r>
          </w:p>
        </w:tc>
        <w:tc>
          <w:tcPr>
            <w:tcW w:w="1554" w:type="dxa"/>
            <w:noWrap w:val="0"/>
            <w:vAlign w:val="center"/>
          </w:tcPr>
          <w:p w14:paraId="36348B4E">
            <w:pPr>
              <w:pStyle w:val="20"/>
              <w:spacing w:line="300" w:lineRule="exact"/>
              <w:ind w:firstLine="0" w:firstLineChars="0"/>
              <w:jc w:val="center"/>
              <w:rPr>
                <w:rFonts w:hint="default" w:ascii="宋体" w:hAnsi="宋体"/>
                <w:color w:val="auto"/>
                <w:sz w:val="21"/>
                <w:szCs w:val="21"/>
                <w:lang w:val="en-US" w:eastAsia="zh-CN"/>
              </w:rPr>
            </w:pPr>
            <w:r>
              <w:rPr>
                <w:rFonts w:hint="eastAsia" w:ascii="宋体" w:hAnsi="宋体"/>
                <w:color w:val="auto"/>
                <w:sz w:val="21"/>
                <w:szCs w:val="21"/>
                <w:lang w:val="en-US" w:eastAsia="zh-CN"/>
              </w:rPr>
              <w:t>防护网</w:t>
            </w:r>
          </w:p>
        </w:tc>
        <w:tc>
          <w:tcPr>
            <w:tcW w:w="5846" w:type="dxa"/>
            <w:noWrap w:val="0"/>
            <w:vAlign w:val="center"/>
          </w:tcPr>
          <w:p w14:paraId="10DE893F">
            <w:pPr>
              <w:pStyle w:val="20"/>
              <w:spacing w:line="300" w:lineRule="exact"/>
              <w:ind w:firstLine="0" w:firstLineChars="0"/>
              <w:jc w:val="center"/>
              <w:rPr>
                <w:rFonts w:hint="eastAsia"/>
                <w:color w:val="auto"/>
                <w:lang w:val="en-US" w:eastAsia="zh-CN"/>
              </w:rPr>
            </w:pPr>
            <w:r>
              <w:rPr>
                <w:rFonts w:hint="eastAsia"/>
                <w:color w:val="auto"/>
                <w:lang w:val="en-US" w:eastAsia="zh-CN"/>
              </w:rPr>
              <w:drawing>
                <wp:anchor distT="0" distB="0" distL="114300" distR="114300" simplePos="0" relativeHeight="251672576" behindDoc="0" locked="0" layoutInCell="1" allowOverlap="1">
                  <wp:simplePos x="0" y="0"/>
                  <wp:positionH relativeFrom="column">
                    <wp:posOffset>6350</wp:posOffset>
                  </wp:positionH>
                  <wp:positionV relativeFrom="paragraph">
                    <wp:posOffset>-3226435</wp:posOffset>
                  </wp:positionV>
                  <wp:extent cx="3550285" cy="2166620"/>
                  <wp:effectExtent l="0" t="0" r="12065" b="5080"/>
                  <wp:wrapTopAndBottom/>
                  <wp:docPr id="10" name="图片 10" descr="0fc12022f83bcfa20b1cd49b0a85b8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fc12022f83bcfa20b1cd49b0a85b8cc"/>
                          <pic:cNvPicPr>
                            <a:picLocks noChangeAspect="1"/>
                          </pic:cNvPicPr>
                        </pic:nvPicPr>
                        <pic:blipFill>
                          <a:blip r:embed="rId18"/>
                          <a:stretch>
                            <a:fillRect/>
                          </a:stretch>
                        </pic:blipFill>
                        <pic:spPr>
                          <a:xfrm>
                            <a:off x="0" y="0"/>
                            <a:ext cx="3550285" cy="2166620"/>
                          </a:xfrm>
                          <a:prstGeom prst="rect">
                            <a:avLst/>
                          </a:prstGeom>
                        </pic:spPr>
                      </pic:pic>
                    </a:graphicData>
                  </a:graphic>
                </wp:anchor>
              </w:drawing>
            </w:r>
          </w:p>
        </w:tc>
      </w:tr>
      <w:tr w14:paraId="4C83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8" w:hRule="atLeast"/>
          <w:tblHeader/>
          <w:jc w:val="center"/>
        </w:trPr>
        <w:tc>
          <w:tcPr>
            <w:tcW w:w="1104" w:type="dxa"/>
            <w:vMerge w:val="continue"/>
            <w:noWrap w:val="0"/>
            <w:vAlign w:val="center"/>
          </w:tcPr>
          <w:p w14:paraId="51236322">
            <w:pPr>
              <w:pStyle w:val="20"/>
              <w:spacing w:line="300" w:lineRule="exact"/>
              <w:ind w:firstLine="0" w:firstLineChars="0"/>
              <w:jc w:val="center"/>
              <w:rPr>
                <w:rFonts w:hint="eastAsia" w:ascii="宋体" w:hAnsi="宋体"/>
                <w:color w:val="auto"/>
                <w:sz w:val="21"/>
                <w:szCs w:val="21"/>
                <w:lang w:val="en-US" w:eastAsia="zh-CN"/>
              </w:rPr>
            </w:pPr>
          </w:p>
        </w:tc>
        <w:tc>
          <w:tcPr>
            <w:tcW w:w="1554" w:type="dxa"/>
            <w:noWrap w:val="0"/>
            <w:vAlign w:val="center"/>
          </w:tcPr>
          <w:p w14:paraId="08A13F73">
            <w:pPr>
              <w:pStyle w:val="20"/>
              <w:spacing w:line="300" w:lineRule="exact"/>
              <w:ind w:firstLine="0" w:firstLineChars="0"/>
              <w:jc w:val="center"/>
              <w:rPr>
                <w:rFonts w:hint="default" w:ascii="宋体" w:hAnsi="宋体"/>
                <w:color w:val="auto"/>
                <w:sz w:val="21"/>
                <w:szCs w:val="21"/>
                <w:lang w:val="en-US" w:eastAsia="zh-CN"/>
              </w:rPr>
            </w:pPr>
            <w:r>
              <w:rPr>
                <w:rFonts w:hint="eastAsia" w:ascii="宋体" w:hAnsi="宋体"/>
                <w:color w:val="auto"/>
                <w:sz w:val="21"/>
                <w:szCs w:val="21"/>
                <w:lang w:val="en-US" w:eastAsia="zh-CN"/>
              </w:rPr>
              <w:t>饮用水保护范围示意图</w:t>
            </w:r>
          </w:p>
        </w:tc>
        <w:tc>
          <w:tcPr>
            <w:tcW w:w="5846" w:type="dxa"/>
            <w:noWrap w:val="0"/>
            <w:vAlign w:val="center"/>
          </w:tcPr>
          <w:p w14:paraId="4921B0F3">
            <w:pPr>
              <w:pStyle w:val="20"/>
              <w:spacing w:line="300" w:lineRule="exact"/>
              <w:ind w:firstLine="0" w:firstLineChars="0"/>
              <w:jc w:val="center"/>
              <w:rPr>
                <w:rFonts w:hint="eastAsia" w:eastAsiaTheme="minorEastAsia"/>
                <w:color w:val="auto"/>
                <w:lang w:eastAsia="zh-CN"/>
              </w:rPr>
            </w:pPr>
            <w:r>
              <w:rPr>
                <w:rFonts w:hint="eastAsia" w:eastAsiaTheme="minorEastAsia"/>
                <w:color w:val="auto"/>
                <w:lang w:eastAsia="zh-CN"/>
              </w:rPr>
              <w:drawing>
                <wp:anchor distT="0" distB="0" distL="114300" distR="114300" simplePos="0" relativeHeight="251670528" behindDoc="0" locked="0" layoutInCell="1" allowOverlap="1">
                  <wp:simplePos x="0" y="0"/>
                  <wp:positionH relativeFrom="column">
                    <wp:posOffset>6350</wp:posOffset>
                  </wp:positionH>
                  <wp:positionV relativeFrom="paragraph">
                    <wp:posOffset>-3226435</wp:posOffset>
                  </wp:positionV>
                  <wp:extent cx="3550285" cy="4733925"/>
                  <wp:effectExtent l="0" t="0" r="12065" b="9525"/>
                  <wp:wrapTopAndBottom/>
                  <wp:docPr id="11" name="图片 11" descr="8be4cd5bd9eac9091113cce8c13ffa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8be4cd5bd9eac9091113cce8c13ffa95"/>
                          <pic:cNvPicPr>
                            <a:picLocks noChangeAspect="1"/>
                          </pic:cNvPicPr>
                        </pic:nvPicPr>
                        <pic:blipFill>
                          <a:blip r:embed="rId19"/>
                          <a:stretch>
                            <a:fillRect/>
                          </a:stretch>
                        </pic:blipFill>
                        <pic:spPr>
                          <a:xfrm>
                            <a:off x="0" y="0"/>
                            <a:ext cx="3550285" cy="4733925"/>
                          </a:xfrm>
                          <a:prstGeom prst="rect">
                            <a:avLst/>
                          </a:prstGeom>
                        </pic:spPr>
                      </pic:pic>
                    </a:graphicData>
                  </a:graphic>
                </wp:anchor>
              </w:drawing>
            </w:r>
          </w:p>
        </w:tc>
      </w:tr>
    </w:tbl>
    <w:p w14:paraId="492AB381">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（2）饮用水源地保护区重点保护工程情况</w:t>
      </w:r>
    </w:p>
    <w:p w14:paraId="2B22937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1）保护区标志、隔离防护设置情况</w:t>
      </w:r>
    </w:p>
    <w:p w14:paraId="0FC2A9C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已根据《饮用水水源保护区标志技术要求（HJ／T_433-2008）》的要求设置一级、二级保护区边界界标等。设置道路警示牌；在水源地周边均设置保护区宣传牌，水源地人为活动较少，有部分可利用的天然地形地貌隔离，并设置明显的具有保护性功能的隔离防护措施。</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取水口都位于</w:t>
      </w:r>
      <w:r>
        <w:rPr>
          <w:rFonts w:hint="eastAsia" w:cs="宋体"/>
          <w:color w:val="auto"/>
          <w:sz w:val="28"/>
          <w:szCs w:val="28"/>
          <w:lang w:val="en-US" w:eastAsia="zh-CN"/>
        </w:rPr>
        <w:t>山体内，门口上锁</w:t>
      </w:r>
      <w:r>
        <w:rPr>
          <w:rFonts w:hint="eastAsia" w:ascii="宋体" w:hAnsi="宋体" w:eastAsia="宋体" w:cs="宋体"/>
          <w:color w:val="auto"/>
          <w:sz w:val="28"/>
          <w:szCs w:val="28"/>
          <w:lang w:val="en-US" w:eastAsia="zh-CN"/>
        </w:rPr>
        <w:t>，人员不易靠近。</w:t>
      </w:r>
      <w:r>
        <w:rPr>
          <w:rFonts w:hint="eastAsia" w:cs="宋体"/>
          <w:color w:val="auto"/>
          <w:sz w:val="28"/>
          <w:szCs w:val="28"/>
          <w:lang w:val="en-US" w:eastAsia="zh-CN"/>
        </w:rPr>
        <w:t>开州区河堰镇双龙洞地下水河堰供水站水源地未设置</w:t>
      </w:r>
      <w:r>
        <w:rPr>
          <w:rFonts w:hint="eastAsia" w:ascii="宋体" w:hAnsi="宋体" w:eastAsia="宋体" w:cs="宋体"/>
          <w:color w:val="auto"/>
          <w:sz w:val="28"/>
          <w:szCs w:val="28"/>
          <w:lang w:val="en-US" w:eastAsia="zh-CN"/>
        </w:rPr>
        <w:t>界桩</w:t>
      </w:r>
      <w:r>
        <w:rPr>
          <w:rFonts w:hint="eastAsia" w:cs="宋体"/>
          <w:color w:val="auto"/>
          <w:sz w:val="28"/>
          <w:szCs w:val="28"/>
          <w:lang w:val="en-US" w:eastAsia="zh-CN"/>
        </w:rPr>
        <w:t>。</w:t>
      </w:r>
    </w:p>
    <w:p w14:paraId="3E0CF85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2）监控能力建设情况</w:t>
      </w:r>
    </w:p>
    <w:p w14:paraId="648F097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根据现场调查，水源地下游的设置有监测</w:t>
      </w:r>
      <w:r>
        <w:rPr>
          <w:rFonts w:hint="eastAsia" w:cs="宋体"/>
          <w:color w:val="auto"/>
          <w:sz w:val="28"/>
          <w:szCs w:val="28"/>
          <w:lang w:val="en-US" w:eastAsia="zh-CN"/>
        </w:rPr>
        <w:t>点</w:t>
      </w:r>
      <w:r>
        <w:rPr>
          <w:rFonts w:hint="eastAsia" w:ascii="宋体" w:hAnsi="宋体" w:eastAsia="宋体" w:cs="宋体"/>
          <w:color w:val="auto"/>
          <w:sz w:val="28"/>
          <w:szCs w:val="28"/>
          <w:lang w:val="en-US" w:eastAsia="zh-CN"/>
        </w:rPr>
        <w:t>，由重庆市开州区生态环境监测中心对设置水质进行定期监测。</w:t>
      </w:r>
    </w:p>
    <w:p w14:paraId="55536DC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根据现场调查，水源地在取水口处设置有视频监控。</w:t>
      </w:r>
    </w:p>
    <w:p w14:paraId="06AF636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3）风险防控与应急能力建设情况</w:t>
      </w:r>
    </w:p>
    <w:p w14:paraId="5EF772E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①风险识别与防范</w:t>
      </w:r>
    </w:p>
    <w:p w14:paraId="0C4F92C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据调查了解，</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上游及周边存在风险源，主要包括农村居民生活、农田灌溉、家禽养殖等，水源地尚未建立风险源名录和危险化学品运输管理制度。</w:t>
      </w:r>
    </w:p>
    <w:p w14:paraId="7FD17B1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②应急能力</w:t>
      </w:r>
    </w:p>
    <w:p w14:paraId="2D552C0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据调查了解，</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已具备应急预案、救济物资、技术储备、应急防护工程设施、应急专家队伍等相应应急能力。</w:t>
      </w:r>
    </w:p>
    <w:p w14:paraId="524C993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4）水源地一源一档建设</w:t>
      </w:r>
    </w:p>
    <w:p w14:paraId="144CCC8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据调查了解，该水源地已进行资料汇编，建立《重庆市开州区温泉水厂饮用水水源地一源一档》。</w:t>
      </w:r>
    </w:p>
    <w:p w14:paraId="08A8D0F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汇编资料如下表所示。</w:t>
      </w:r>
      <w:bookmarkStart w:id="31" w:name="_Ref524336654"/>
    </w:p>
    <w:p w14:paraId="6C3FDDE4">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表</w:t>
      </w:r>
      <w:bookmarkEnd w:id="31"/>
      <w:r>
        <w:rPr>
          <w:rFonts w:hint="eastAsia" w:ascii="宋体" w:hAnsi="宋体" w:eastAsia="宋体" w:cs="宋体"/>
          <w:color w:val="auto"/>
          <w:sz w:val="28"/>
          <w:szCs w:val="28"/>
          <w:lang w:val="en-US" w:eastAsia="zh-CN"/>
        </w:rPr>
        <w:t xml:space="preserve"> 2.3-2 </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一源一档资料</w:t>
      </w:r>
    </w:p>
    <w:tbl>
      <w:tblPr>
        <w:tblStyle w:val="15"/>
        <w:tblW w:w="850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95"/>
        <w:gridCol w:w="5429"/>
        <w:gridCol w:w="2380"/>
      </w:tblGrid>
      <w:tr w14:paraId="26C2F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0" w:type="dxa"/>
            <w:noWrap w:val="0"/>
            <w:vAlign w:val="center"/>
          </w:tcPr>
          <w:p w14:paraId="7EF7AA3D">
            <w:pPr>
              <w:bidi w:val="0"/>
            </w:pPr>
            <w:r>
              <w:t>序号</w:t>
            </w:r>
          </w:p>
        </w:tc>
        <w:tc>
          <w:tcPr>
            <w:tcW w:w="5596" w:type="dxa"/>
            <w:noWrap w:val="0"/>
            <w:vAlign w:val="center"/>
          </w:tcPr>
          <w:p w14:paraId="173C6C2B">
            <w:pPr>
              <w:bidi w:val="0"/>
            </w:pPr>
            <w:r>
              <w:t>文件材料题名</w:t>
            </w:r>
          </w:p>
        </w:tc>
        <w:tc>
          <w:tcPr>
            <w:tcW w:w="2449" w:type="dxa"/>
            <w:noWrap w:val="0"/>
            <w:vAlign w:val="center"/>
          </w:tcPr>
          <w:p w14:paraId="16FAC2D2">
            <w:pPr>
              <w:bidi w:val="0"/>
            </w:pPr>
            <w:r>
              <w:t>备注</w:t>
            </w:r>
          </w:p>
        </w:tc>
      </w:tr>
      <w:tr w14:paraId="6DDF3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0" w:type="dxa"/>
            <w:noWrap w:val="0"/>
            <w:vAlign w:val="center"/>
          </w:tcPr>
          <w:p w14:paraId="2BAFBFDA">
            <w:pPr>
              <w:bidi w:val="0"/>
            </w:pPr>
            <w:r>
              <w:t>1</w:t>
            </w:r>
          </w:p>
        </w:tc>
        <w:tc>
          <w:tcPr>
            <w:tcW w:w="5596" w:type="dxa"/>
            <w:noWrap w:val="0"/>
            <w:vAlign w:val="center"/>
          </w:tcPr>
          <w:p w14:paraId="0FD8B9F8">
            <w:pPr>
              <w:bidi w:val="0"/>
            </w:pPr>
            <w:r>
              <w:t>《重庆市人民政府办公厅关于调整万州区等36个区县（自治县）集中式饮用水水源保护区的通知》</w:t>
            </w:r>
          </w:p>
        </w:tc>
        <w:tc>
          <w:tcPr>
            <w:tcW w:w="2449" w:type="dxa"/>
            <w:noWrap w:val="0"/>
            <w:vAlign w:val="center"/>
          </w:tcPr>
          <w:p w14:paraId="0685D354">
            <w:pPr>
              <w:bidi w:val="0"/>
            </w:pPr>
            <w:r>
              <w:t>渝府办[2016]19号</w:t>
            </w:r>
          </w:p>
        </w:tc>
      </w:tr>
      <w:tr w14:paraId="1E8E9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0" w:type="dxa"/>
            <w:noWrap w:val="0"/>
            <w:vAlign w:val="center"/>
          </w:tcPr>
          <w:p w14:paraId="247B1677">
            <w:pPr>
              <w:bidi w:val="0"/>
            </w:pPr>
            <w:r>
              <w:t>2</w:t>
            </w:r>
          </w:p>
        </w:tc>
        <w:tc>
          <w:tcPr>
            <w:tcW w:w="5596" w:type="dxa"/>
            <w:noWrap w:val="0"/>
            <w:vAlign w:val="center"/>
          </w:tcPr>
          <w:p w14:paraId="49E93EDD">
            <w:pPr>
              <w:bidi w:val="0"/>
            </w:pPr>
            <w:r>
              <w:t>《</w:t>
            </w:r>
            <w:r>
              <w:rPr>
                <w:rFonts w:hint="eastAsia"/>
              </w:rPr>
              <w:t>重庆市人民政府办公厅关于 印发万州区等区县（开发区）集中式饮用水水源地保护区划分及调整方案的通知</w:t>
            </w:r>
            <w:r>
              <w:t>》</w:t>
            </w:r>
          </w:p>
        </w:tc>
        <w:tc>
          <w:tcPr>
            <w:tcW w:w="2449" w:type="dxa"/>
            <w:noWrap w:val="0"/>
            <w:vAlign w:val="center"/>
          </w:tcPr>
          <w:p w14:paraId="729614AD">
            <w:pPr>
              <w:bidi w:val="0"/>
            </w:pPr>
            <w:r>
              <w:rPr>
                <w:rFonts w:hint="eastAsia"/>
              </w:rPr>
              <w:t>渝府办[2018]7号</w:t>
            </w:r>
          </w:p>
        </w:tc>
      </w:tr>
      <w:tr w14:paraId="02951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0" w:type="dxa"/>
            <w:noWrap w:val="0"/>
            <w:vAlign w:val="center"/>
          </w:tcPr>
          <w:p w14:paraId="65580C8C">
            <w:pPr>
              <w:bidi w:val="0"/>
            </w:pPr>
            <w:r>
              <w:t>3</w:t>
            </w:r>
          </w:p>
        </w:tc>
        <w:tc>
          <w:tcPr>
            <w:tcW w:w="5596" w:type="dxa"/>
            <w:noWrap w:val="0"/>
            <w:vAlign w:val="center"/>
          </w:tcPr>
          <w:p w14:paraId="4620F38C">
            <w:pPr>
              <w:bidi w:val="0"/>
            </w:pPr>
            <w:r>
              <w:rPr>
                <w:rFonts w:hint="eastAsia"/>
              </w:rPr>
              <w:t>《重庆市开州区环境保护局关于进一步加强乡镇集中式饮用水水源地管理的通知》</w:t>
            </w:r>
          </w:p>
        </w:tc>
        <w:tc>
          <w:tcPr>
            <w:tcW w:w="2449" w:type="dxa"/>
            <w:noWrap w:val="0"/>
            <w:vAlign w:val="center"/>
          </w:tcPr>
          <w:p w14:paraId="3E1BAB4D">
            <w:pPr>
              <w:bidi w:val="0"/>
            </w:pPr>
            <w:r>
              <w:t>开州环发〔2017〕75号</w:t>
            </w:r>
          </w:p>
        </w:tc>
      </w:tr>
      <w:tr w14:paraId="7EB83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0" w:type="dxa"/>
            <w:noWrap w:val="0"/>
            <w:vAlign w:val="center"/>
          </w:tcPr>
          <w:p w14:paraId="63A4CBEC">
            <w:pPr>
              <w:bidi w:val="0"/>
            </w:pPr>
            <w:r>
              <w:t>4</w:t>
            </w:r>
          </w:p>
        </w:tc>
        <w:tc>
          <w:tcPr>
            <w:tcW w:w="5596" w:type="dxa"/>
            <w:noWrap w:val="0"/>
            <w:vAlign w:val="center"/>
          </w:tcPr>
          <w:p w14:paraId="42D3E3EB">
            <w:pPr>
              <w:bidi w:val="0"/>
            </w:pPr>
            <w:r>
              <w:t>重庆市</w:t>
            </w:r>
            <w:r>
              <w:rPr>
                <w:rFonts w:hint="eastAsia"/>
                <w:lang w:eastAsia="zh-CN"/>
              </w:rPr>
              <w:t>开州区河堰镇双龙洞地下水河堰供水站水源地标识</w:t>
            </w:r>
            <w:r>
              <w:t>标牌相关情况</w:t>
            </w:r>
          </w:p>
        </w:tc>
        <w:tc>
          <w:tcPr>
            <w:tcW w:w="2449" w:type="dxa"/>
            <w:noWrap w:val="0"/>
            <w:vAlign w:val="center"/>
          </w:tcPr>
          <w:p w14:paraId="7F52F0E3">
            <w:pPr>
              <w:bidi w:val="0"/>
            </w:pPr>
            <w:r>
              <w:t>标示标牌</w:t>
            </w:r>
          </w:p>
        </w:tc>
      </w:tr>
      <w:tr w14:paraId="3A149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0" w:type="dxa"/>
            <w:noWrap w:val="0"/>
            <w:vAlign w:val="center"/>
          </w:tcPr>
          <w:p w14:paraId="4A217C2C">
            <w:pPr>
              <w:bidi w:val="0"/>
            </w:pPr>
            <w:r>
              <w:t>5</w:t>
            </w:r>
          </w:p>
        </w:tc>
        <w:tc>
          <w:tcPr>
            <w:tcW w:w="5596" w:type="dxa"/>
            <w:noWrap w:val="0"/>
            <w:vAlign w:val="center"/>
          </w:tcPr>
          <w:p w14:paraId="3F14ED69">
            <w:pPr>
              <w:bidi w:val="0"/>
            </w:pPr>
            <w:r>
              <w:rPr>
                <w:rFonts w:hint="eastAsia"/>
                <w:lang w:eastAsia="zh-CN"/>
              </w:rPr>
              <w:t>河堰镇</w:t>
            </w:r>
            <w:r>
              <w:t>饮用水源保护区巡查记录表</w:t>
            </w:r>
          </w:p>
        </w:tc>
        <w:tc>
          <w:tcPr>
            <w:tcW w:w="2449" w:type="dxa"/>
            <w:noWrap w:val="0"/>
            <w:vAlign w:val="center"/>
          </w:tcPr>
          <w:p w14:paraId="3BC7B12A">
            <w:pPr>
              <w:bidi w:val="0"/>
            </w:pPr>
            <w:r>
              <w:rPr>
                <w:rFonts w:hint="eastAsia"/>
                <w:lang w:eastAsia="zh-CN"/>
              </w:rPr>
              <w:t>河堰镇</w:t>
            </w:r>
            <w:r>
              <w:rPr>
                <w:rFonts w:hint="eastAsia"/>
              </w:rPr>
              <w:t>政府</w:t>
            </w:r>
          </w:p>
        </w:tc>
      </w:tr>
      <w:tr w14:paraId="23B9C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0" w:type="dxa"/>
            <w:noWrap w:val="0"/>
            <w:vAlign w:val="center"/>
          </w:tcPr>
          <w:p w14:paraId="00F1A2DF">
            <w:pPr>
              <w:bidi w:val="0"/>
            </w:pPr>
            <w:r>
              <w:t>6</w:t>
            </w:r>
          </w:p>
        </w:tc>
        <w:tc>
          <w:tcPr>
            <w:tcW w:w="5596" w:type="dxa"/>
            <w:noWrap w:val="0"/>
            <w:vAlign w:val="center"/>
          </w:tcPr>
          <w:p w14:paraId="4F82AEF2">
            <w:pPr>
              <w:bidi w:val="0"/>
            </w:pPr>
            <w:r>
              <w:t>重庆市</w:t>
            </w:r>
            <w:r>
              <w:rPr>
                <w:rFonts w:hint="eastAsia"/>
                <w:lang w:eastAsia="zh-CN"/>
              </w:rPr>
              <w:t>河堰镇</w:t>
            </w:r>
            <w:r>
              <w:rPr>
                <w:rFonts w:hint="eastAsia"/>
              </w:rPr>
              <w:t>环保办</w:t>
            </w:r>
            <w:r>
              <w:t>现场监察记录单</w:t>
            </w:r>
          </w:p>
        </w:tc>
        <w:tc>
          <w:tcPr>
            <w:tcW w:w="2449" w:type="dxa"/>
            <w:noWrap w:val="0"/>
            <w:vAlign w:val="center"/>
          </w:tcPr>
          <w:p w14:paraId="717E1F4D">
            <w:pPr>
              <w:bidi w:val="0"/>
            </w:pPr>
            <w:r>
              <w:t>水厂巡查记录</w:t>
            </w:r>
          </w:p>
        </w:tc>
      </w:tr>
      <w:tr w14:paraId="0C3D2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0" w:type="dxa"/>
            <w:noWrap w:val="0"/>
            <w:vAlign w:val="center"/>
          </w:tcPr>
          <w:p w14:paraId="5D7927FE">
            <w:pPr>
              <w:bidi w:val="0"/>
            </w:pPr>
            <w:r>
              <w:t>7</w:t>
            </w:r>
          </w:p>
        </w:tc>
        <w:tc>
          <w:tcPr>
            <w:tcW w:w="5596" w:type="dxa"/>
            <w:noWrap w:val="0"/>
            <w:vAlign w:val="center"/>
          </w:tcPr>
          <w:p w14:paraId="7009BA3F">
            <w:pPr>
              <w:bidi w:val="0"/>
            </w:pPr>
            <w:r>
              <w:rPr>
                <w:rFonts w:hint="eastAsia"/>
                <w:lang w:eastAsia="zh-CN"/>
              </w:rPr>
              <w:t>河堰镇</w:t>
            </w:r>
            <w:r>
              <w:t>饮用水源保护区巡查记录表</w:t>
            </w:r>
          </w:p>
        </w:tc>
        <w:tc>
          <w:tcPr>
            <w:tcW w:w="2449" w:type="dxa"/>
            <w:noWrap w:val="0"/>
            <w:vAlign w:val="center"/>
          </w:tcPr>
          <w:p w14:paraId="59B8BC39">
            <w:pPr>
              <w:bidi w:val="0"/>
            </w:pPr>
            <w:r>
              <w:t>生态环境局巡查记录</w:t>
            </w:r>
          </w:p>
        </w:tc>
      </w:tr>
      <w:tr w14:paraId="31EBE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0" w:type="dxa"/>
            <w:noWrap w:val="0"/>
            <w:vAlign w:val="center"/>
          </w:tcPr>
          <w:p w14:paraId="1D989D0D">
            <w:pPr>
              <w:bidi w:val="0"/>
            </w:pPr>
            <w:r>
              <w:t>8</w:t>
            </w:r>
          </w:p>
        </w:tc>
        <w:tc>
          <w:tcPr>
            <w:tcW w:w="5596" w:type="dxa"/>
            <w:noWrap w:val="0"/>
            <w:vAlign w:val="center"/>
          </w:tcPr>
          <w:p w14:paraId="6984E8F2">
            <w:pPr>
              <w:bidi w:val="0"/>
            </w:pPr>
            <w:r>
              <w:t>《</w:t>
            </w:r>
            <w:r>
              <w:rPr>
                <w:rFonts w:hint="eastAsia"/>
                <w:lang w:eastAsia="zh-CN"/>
              </w:rPr>
              <w:t>河堰镇</w:t>
            </w:r>
            <w:r>
              <w:rPr>
                <w:rFonts w:hint="eastAsia"/>
              </w:rPr>
              <w:t>人民政府</w:t>
            </w:r>
            <w:r>
              <w:t>应急物资明细》</w:t>
            </w:r>
          </w:p>
        </w:tc>
        <w:tc>
          <w:tcPr>
            <w:tcW w:w="2449" w:type="dxa"/>
            <w:noWrap w:val="0"/>
            <w:vAlign w:val="center"/>
          </w:tcPr>
          <w:p w14:paraId="3B883F80">
            <w:pPr>
              <w:bidi w:val="0"/>
            </w:pPr>
            <w:r>
              <w:t>水源地应急</w:t>
            </w:r>
            <w:r>
              <w:rPr>
                <w:rFonts w:hint="eastAsia"/>
                <w:lang w:eastAsia="zh-CN"/>
              </w:rPr>
              <w:t>物资</w:t>
            </w:r>
            <w:r>
              <w:t>、装备、设备储备清单</w:t>
            </w:r>
          </w:p>
        </w:tc>
      </w:tr>
      <w:tr w14:paraId="2DFE7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0" w:type="dxa"/>
            <w:noWrap w:val="0"/>
            <w:vAlign w:val="center"/>
          </w:tcPr>
          <w:p w14:paraId="7B3F84F2">
            <w:pPr>
              <w:bidi w:val="0"/>
            </w:pPr>
            <w:r>
              <w:t>9</w:t>
            </w:r>
          </w:p>
        </w:tc>
        <w:tc>
          <w:tcPr>
            <w:tcW w:w="5596" w:type="dxa"/>
            <w:noWrap w:val="0"/>
            <w:vAlign w:val="center"/>
          </w:tcPr>
          <w:p w14:paraId="5E28042B">
            <w:pPr>
              <w:bidi w:val="0"/>
            </w:pPr>
            <w:r>
              <w:t>重庆市</w:t>
            </w:r>
            <w:r>
              <w:rPr>
                <w:rFonts w:hint="eastAsia"/>
              </w:rPr>
              <w:t>开州区</w:t>
            </w:r>
            <w:r>
              <w:t>环境应急专家库名单</w:t>
            </w:r>
          </w:p>
        </w:tc>
        <w:tc>
          <w:tcPr>
            <w:tcW w:w="2449" w:type="dxa"/>
            <w:noWrap w:val="0"/>
            <w:vAlign w:val="center"/>
          </w:tcPr>
          <w:p w14:paraId="285D36BA">
            <w:pPr>
              <w:bidi w:val="0"/>
            </w:pPr>
          </w:p>
        </w:tc>
      </w:tr>
    </w:tbl>
    <w:p w14:paraId="348AE2F0">
      <w:pPr>
        <w:keepNext/>
        <w:keepLines/>
        <w:pageBreakBefore w:val="0"/>
        <w:widowControl w:val="0"/>
        <w:kinsoku/>
        <w:wordWrap/>
        <w:overflowPunct/>
        <w:topLinePunct w:val="0"/>
        <w:autoSpaceDE/>
        <w:autoSpaceDN/>
        <w:bidi w:val="0"/>
        <w:adjustRightInd/>
        <w:snapToGrid/>
        <w:spacing w:before="0" w:beforeLines="0" w:after="0" w:afterLines="0" w:line="360" w:lineRule="auto"/>
        <w:ind w:left="0"/>
        <w:jc w:val="left"/>
        <w:textAlignment w:val="auto"/>
        <w:outlineLvl w:val="1"/>
        <w:rPr>
          <w:rFonts w:hint="eastAsia" w:ascii="宋体" w:hAnsi="宋体" w:eastAsia="宋体" w:cs="宋体"/>
          <w:b/>
          <w:bCs/>
          <w:color w:val="auto"/>
          <w:kern w:val="2"/>
          <w:sz w:val="32"/>
          <w:szCs w:val="32"/>
          <w:lang w:val="en-US" w:eastAsia="zh-CN" w:bidi="ar-SA"/>
        </w:rPr>
      </w:pPr>
      <w:bookmarkStart w:id="32" w:name="_Toc8217"/>
      <w:bookmarkStart w:id="33" w:name="_Toc10356"/>
      <w:r>
        <w:rPr>
          <w:rFonts w:hint="eastAsia" w:ascii="宋体" w:hAnsi="宋体" w:eastAsia="宋体" w:cs="宋体"/>
          <w:b/>
          <w:bCs/>
          <w:color w:val="auto"/>
          <w:kern w:val="2"/>
          <w:sz w:val="32"/>
          <w:szCs w:val="32"/>
          <w:lang w:val="en-US" w:eastAsia="zh-CN" w:bidi="ar-SA"/>
        </w:rPr>
        <w:t>2.4 水源地环境风险</w:t>
      </w:r>
      <w:bookmarkEnd w:id="32"/>
      <w:bookmarkEnd w:id="33"/>
    </w:p>
    <w:p w14:paraId="51E3763F">
      <w:pPr>
        <w:keepNext w:val="0"/>
        <w:keepLines w:val="0"/>
        <w:pageBreakBefore w:val="0"/>
        <w:widowControl w:val="0"/>
        <w:kinsoku/>
        <w:wordWrap/>
        <w:overflowPunct/>
        <w:topLinePunct w:val="0"/>
        <w:autoSpaceDE/>
        <w:autoSpaceDN/>
        <w:bidi w:val="0"/>
        <w:adjustRightInd/>
        <w:snapToGrid/>
        <w:spacing w:line="360" w:lineRule="auto"/>
        <w:ind w:left="0" w:firstLine="562" w:firstLineChars="200"/>
        <w:textAlignment w:val="auto"/>
        <w:outlineLvl w:val="2"/>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2.4.1 固定源</w:t>
      </w:r>
    </w:p>
    <w:p w14:paraId="164F7FB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经调查，</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保护区、汇水区域及上游连接水体上溯24小时流程范围内无工业企业、加油加气站、污水处理厂、入河排污口、废弃物暂存或转运站、危化品堆放场所、工业弃渣场、尾矿库、无垃圾填埋场等固定风险源分布。</w:t>
      </w:r>
    </w:p>
    <w:p w14:paraId="74EBAFC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综上，</w:t>
      </w:r>
      <w:r>
        <w:rPr>
          <w:rFonts w:hint="eastAsia" w:cs="宋体"/>
          <w:color w:val="auto"/>
          <w:sz w:val="28"/>
          <w:szCs w:val="28"/>
          <w:lang w:val="en-US" w:eastAsia="zh-CN"/>
        </w:rPr>
        <w:t>河堰镇开州区河堰镇双龙洞地下水河堰供水站水源地</w:t>
      </w:r>
      <w:r>
        <w:rPr>
          <w:rFonts w:hint="eastAsia" w:ascii="宋体" w:hAnsi="宋体" w:eastAsia="宋体" w:cs="宋体"/>
          <w:color w:val="auto"/>
          <w:sz w:val="28"/>
          <w:szCs w:val="28"/>
          <w:lang w:val="en-US" w:eastAsia="zh-CN"/>
        </w:rPr>
        <w:t>无固定污染源存在。</w:t>
      </w:r>
    </w:p>
    <w:p w14:paraId="00DA4B88">
      <w:pPr>
        <w:keepNext w:val="0"/>
        <w:keepLines w:val="0"/>
        <w:pageBreakBefore w:val="0"/>
        <w:widowControl w:val="0"/>
        <w:kinsoku/>
        <w:wordWrap/>
        <w:overflowPunct/>
        <w:topLinePunct w:val="0"/>
        <w:autoSpaceDE/>
        <w:autoSpaceDN/>
        <w:bidi w:val="0"/>
        <w:adjustRightInd/>
        <w:snapToGrid/>
        <w:spacing w:line="360" w:lineRule="auto"/>
        <w:ind w:left="0" w:firstLine="562" w:firstLineChars="200"/>
        <w:textAlignment w:val="auto"/>
        <w:outlineLvl w:val="2"/>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2.4.2 流动源</w:t>
      </w:r>
    </w:p>
    <w:p w14:paraId="602896C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（一）货运码头、水上加油站</w:t>
      </w:r>
    </w:p>
    <w:p w14:paraId="346A8164">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保护区内无从事危险化学品或煤炭、矿砂、水泥等装卸作业的货运码头。保护区及保护区上游连接水体及周边汇水区域上溯24小时流程范围内无水上加油站，无航道功能，不涉及环境风险物质运输，无涉及环境风险物质运输的码头。</w:t>
      </w:r>
    </w:p>
    <w:p w14:paraId="46E73B0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（二）涉及环境风险物质运输的道路、桥梁</w:t>
      </w:r>
    </w:p>
    <w:p w14:paraId="5CCE106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根据现场调查，</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保护区无公路穿越。</w:t>
      </w:r>
    </w:p>
    <w:p w14:paraId="1499DB7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保护区上游连接水体及周边汇水区域上溯24小时流程范围内的水体旁分布有道路（村道），临水源地的道路段设置有防撞护栏。</w:t>
      </w:r>
    </w:p>
    <w:p w14:paraId="3BC3E55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cs="宋体"/>
          <w:color w:val="auto"/>
          <w:sz w:val="28"/>
          <w:szCs w:val="28"/>
          <w:lang w:val="en-US" w:eastAsia="zh-CN"/>
        </w:rPr>
        <w:t>河堰镇</w:t>
      </w:r>
      <w:r>
        <w:rPr>
          <w:rFonts w:hint="eastAsia" w:ascii="宋体" w:hAnsi="宋体" w:eastAsia="宋体" w:cs="宋体"/>
          <w:color w:val="auto"/>
          <w:sz w:val="28"/>
          <w:szCs w:val="28"/>
          <w:lang w:val="en-US" w:eastAsia="zh-CN"/>
        </w:rPr>
        <w:t>未设置危险化学品专用运输道路，水源地周边无使用或储存环境风险物质的企业。因此，除行驶的交通载具自带的油品外，基本不涉及环境风险物质运输。</w:t>
      </w:r>
    </w:p>
    <w:p w14:paraId="1DBEB83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（三）涉及环境风险物质运输的航道</w:t>
      </w:r>
    </w:p>
    <w:p w14:paraId="2A90A17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无航道功能，不涉及环境风险物质运输，无涉及环境风险物质运输的码头。</w:t>
      </w:r>
    </w:p>
    <w:p w14:paraId="64C671F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综上，</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保护区及保护区上游连接水体及周边汇水区域上溯24小时流程范围内的流动风险源主要为：交通道路。</w:t>
      </w:r>
    </w:p>
    <w:p w14:paraId="73427C2A">
      <w:pPr>
        <w:keepNext w:val="0"/>
        <w:keepLines w:val="0"/>
        <w:pageBreakBefore w:val="0"/>
        <w:widowControl w:val="0"/>
        <w:kinsoku/>
        <w:wordWrap/>
        <w:overflowPunct/>
        <w:topLinePunct w:val="0"/>
        <w:autoSpaceDE/>
        <w:autoSpaceDN/>
        <w:bidi w:val="0"/>
        <w:adjustRightInd/>
        <w:snapToGrid/>
        <w:spacing w:line="360" w:lineRule="auto"/>
        <w:ind w:left="0" w:firstLine="562" w:firstLineChars="200"/>
        <w:textAlignment w:val="auto"/>
        <w:outlineLvl w:val="2"/>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2.4.3 非点源</w:t>
      </w:r>
    </w:p>
    <w:p w14:paraId="31B4B61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（一）土地利用</w:t>
      </w:r>
    </w:p>
    <w:p w14:paraId="5495FB2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经调查，</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保护区及流域范围内土地利用以林地为主，有一定面积的林地和农村居民用地。水源地保护边界上游上溯24小时流程范围的流域范围主要为农村区域，农用地、林地和未利用地等土地利用类型均有分布。</w:t>
      </w:r>
    </w:p>
    <w:p w14:paraId="7D43FCB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（二）农业面源风险源</w:t>
      </w:r>
    </w:p>
    <w:p w14:paraId="4A46F09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保护区一级、二级保护区范围内不存在耕地。汇水区域有少量耕地，对汇水区内的农业种植采用改良耕作方式，集中推广科学实用高质量的专用配方肥料，在重点区域开展测土配方施肥试验示范，提高肥料利用率等措施有效控制氮、磷入库负荷。大力实施绿色防控，推广病虫害远程监控技术，农业防治、物理防治、生物防治技术，化学防控技术，有效控制入库农药污染负荷，从而减少农业面源污染。</w:t>
      </w:r>
    </w:p>
    <w:p w14:paraId="6792531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（三）畜禽养殖风险源</w:t>
      </w:r>
    </w:p>
    <w:p w14:paraId="703C6AE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根据饮用水水源地环境保护现场监察记录及现场踏勘，</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保护区内无规模化畜禽养殖。</w:t>
      </w:r>
    </w:p>
    <w:p w14:paraId="7E502C0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（四）水产养殖风险源</w:t>
      </w:r>
    </w:p>
    <w:p w14:paraId="6F5AC06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保护区内、保护区边界向上游连接水体及周边汇水区域上溯24小时流程范围的流域范围内均无水产养殖。</w:t>
      </w:r>
    </w:p>
    <w:p w14:paraId="1BF8CCE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（五）生活风险源</w:t>
      </w:r>
    </w:p>
    <w:p w14:paraId="37A7DBD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经调查，</w:t>
      </w: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保护区内无生活排污口。水源地保护区内居民生活污水均收集进入旱厕作农家肥用。</w:t>
      </w:r>
    </w:p>
    <w:p w14:paraId="092B37CD">
      <w:pPr>
        <w:bidi w:val="0"/>
        <w:rPr>
          <w:rFonts w:hint="eastAsia"/>
          <w:lang w:val="en-US" w:eastAsia="zh-CN"/>
        </w:rPr>
      </w:pPr>
    </w:p>
    <w:p w14:paraId="0DA2ACC5">
      <w:pPr>
        <w:bidi w:val="0"/>
        <w:rPr>
          <w:rFonts w:hint="eastAsia"/>
          <w:lang w:val="en-US" w:eastAsia="zh-CN"/>
        </w:rPr>
      </w:pPr>
      <w:r>
        <w:rPr>
          <w:rFonts w:hint="eastAsia"/>
          <w:lang w:val="en-US" w:eastAsia="zh-CN"/>
        </w:rPr>
        <w:br w:type="page"/>
      </w:r>
    </w:p>
    <w:p w14:paraId="15F4CF5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color w:val="auto"/>
          <w:kern w:val="2"/>
          <w:sz w:val="32"/>
          <w:szCs w:val="32"/>
          <w:lang w:val="en-US" w:eastAsia="zh-CN" w:bidi="ar-SA"/>
        </w:rPr>
      </w:pPr>
      <w:bookmarkStart w:id="34" w:name="_Toc4272"/>
      <w:bookmarkStart w:id="35" w:name="_Toc21990"/>
      <w:r>
        <w:rPr>
          <w:rFonts w:hint="eastAsia" w:ascii="宋体" w:hAnsi="宋体" w:eastAsia="宋体" w:cs="宋体"/>
          <w:b/>
          <w:bCs/>
          <w:color w:val="auto"/>
          <w:kern w:val="2"/>
          <w:sz w:val="32"/>
          <w:szCs w:val="32"/>
          <w:lang w:val="en-US" w:eastAsia="zh-CN" w:bidi="ar-SA"/>
        </w:rPr>
        <w:t>3 应急组织机构体系及职责</w:t>
      </w:r>
      <w:bookmarkEnd w:id="34"/>
      <w:bookmarkEnd w:id="35"/>
    </w:p>
    <w:p w14:paraId="3ADA1FA3">
      <w:pPr>
        <w:keepNext/>
        <w:keepLines/>
        <w:pageBreakBefore w:val="0"/>
        <w:widowControl w:val="0"/>
        <w:kinsoku/>
        <w:wordWrap/>
        <w:overflowPunct/>
        <w:topLinePunct w:val="0"/>
        <w:autoSpaceDE/>
        <w:autoSpaceDN/>
        <w:bidi w:val="0"/>
        <w:adjustRightInd/>
        <w:snapToGrid/>
        <w:spacing w:before="0" w:beforeLines="0" w:after="0" w:afterLines="0" w:line="360" w:lineRule="auto"/>
        <w:ind w:left="0"/>
        <w:jc w:val="left"/>
        <w:textAlignment w:val="auto"/>
        <w:outlineLvl w:val="1"/>
        <w:rPr>
          <w:rFonts w:hint="eastAsia" w:ascii="宋体" w:hAnsi="宋体" w:eastAsia="宋体" w:cs="宋体"/>
          <w:b/>
          <w:bCs/>
          <w:color w:val="auto"/>
          <w:kern w:val="2"/>
          <w:sz w:val="32"/>
          <w:szCs w:val="32"/>
          <w:lang w:val="en-US" w:eastAsia="zh-CN" w:bidi="ar-SA"/>
        </w:rPr>
      </w:pPr>
      <w:bookmarkStart w:id="36" w:name="_Toc20276"/>
      <w:bookmarkStart w:id="37" w:name="_Toc22367"/>
      <w:r>
        <w:rPr>
          <w:rFonts w:hint="eastAsia" w:ascii="宋体" w:hAnsi="宋体" w:eastAsia="宋体" w:cs="宋体"/>
          <w:b/>
          <w:bCs/>
          <w:color w:val="auto"/>
          <w:kern w:val="2"/>
          <w:sz w:val="32"/>
          <w:szCs w:val="32"/>
          <w:lang w:val="en-US" w:eastAsia="zh-CN" w:bidi="ar-SA"/>
        </w:rPr>
        <w:t>3.1 应急组织机构</w:t>
      </w:r>
      <w:bookmarkEnd w:id="36"/>
      <w:bookmarkEnd w:id="37"/>
    </w:p>
    <w:p w14:paraId="34BEC932">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河堰镇</w:t>
      </w:r>
      <w:r>
        <w:rPr>
          <w:rFonts w:hint="eastAsia" w:ascii="宋体" w:hAnsi="宋体" w:eastAsia="宋体" w:cs="宋体"/>
          <w:color w:val="auto"/>
          <w:sz w:val="28"/>
          <w:szCs w:val="28"/>
          <w:lang w:val="en-US" w:eastAsia="zh-CN"/>
        </w:rPr>
        <w:t>是负责重庆市开州区</w:t>
      </w:r>
      <w:r>
        <w:rPr>
          <w:rFonts w:hint="eastAsia" w:ascii="宋体" w:hAnsi="宋体" w:cs="宋体"/>
          <w:color w:val="auto"/>
          <w:sz w:val="28"/>
          <w:szCs w:val="28"/>
          <w:lang w:val="en-US" w:eastAsia="zh-CN"/>
        </w:rPr>
        <w:t>河堰镇</w:t>
      </w:r>
      <w:r>
        <w:rPr>
          <w:rFonts w:hint="eastAsia" w:ascii="宋体" w:hAnsi="宋体" w:eastAsia="宋体" w:cs="宋体"/>
          <w:color w:val="auto"/>
          <w:sz w:val="28"/>
          <w:szCs w:val="28"/>
          <w:lang w:val="en-US" w:eastAsia="zh-CN"/>
        </w:rPr>
        <w:t>突发环境事件应急管理工作的行政领导机关。根据工作需要，成立</w:t>
      </w:r>
      <w:r>
        <w:rPr>
          <w:rFonts w:hint="eastAsia" w:ascii="宋体" w:hAnsi="宋体" w:cs="宋体"/>
          <w:color w:val="auto"/>
          <w:sz w:val="28"/>
          <w:szCs w:val="28"/>
          <w:lang w:val="en-US" w:eastAsia="zh-CN"/>
        </w:rPr>
        <w:t>河堰镇</w:t>
      </w:r>
      <w:r>
        <w:rPr>
          <w:rFonts w:hint="eastAsia" w:ascii="宋体" w:hAnsi="宋体" w:eastAsia="宋体" w:cs="宋体"/>
          <w:color w:val="auto"/>
          <w:sz w:val="28"/>
          <w:szCs w:val="28"/>
          <w:lang w:val="en-US" w:eastAsia="zh-CN"/>
        </w:rPr>
        <w:t>应急领导小组（以下简称“应急领导小组”），统一领导重庆市开州区</w:t>
      </w:r>
      <w:r>
        <w:rPr>
          <w:rFonts w:hint="eastAsia" w:ascii="宋体" w:hAnsi="宋体" w:cs="宋体"/>
          <w:color w:val="auto"/>
          <w:sz w:val="28"/>
          <w:szCs w:val="28"/>
          <w:lang w:val="en-US" w:eastAsia="zh-CN"/>
        </w:rPr>
        <w:t>河堰镇</w:t>
      </w:r>
      <w:r>
        <w:rPr>
          <w:rFonts w:hint="eastAsia" w:ascii="宋体" w:hAnsi="宋体" w:eastAsia="宋体" w:cs="宋体"/>
          <w:color w:val="auto"/>
          <w:sz w:val="28"/>
          <w:szCs w:val="28"/>
          <w:lang w:val="en-US" w:eastAsia="zh-CN"/>
        </w:rPr>
        <w:t>突发环境事件应对工作，对重庆市开州区</w:t>
      </w:r>
      <w:r>
        <w:rPr>
          <w:rFonts w:hint="eastAsia" w:ascii="宋体" w:hAnsi="宋体" w:cs="宋体"/>
          <w:color w:val="auto"/>
          <w:sz w:val="28"/>
          <w:szCs w:val="28"/>
          <w:lang w:val="en-US" w:eastAsia="zh-CN"/>
        </w:rPr>
        <w:t>河堰镇</w:t>
      </w:r>
      <w:r>
        <w:rPr>
          <w:rFonts w:hint="eastAsia" w:ascii="宋体" w:hAnsi="宋体" w:eastAsia="宋体" w:cs="宋体"/>
          <w:color w:val="auto"/>
          <w:sz w:val="28"/>
          <w:szCs w:val="28"/>
          <w:lang w:val="en-US" w:eastAsia="zh-CN"/>
        </w:rPr>
        <w:t>突发环境事件的应急管理、应急处置和灾后重建工作的实施领导，负责统一指挥突发环境事件应急处置工作。</w:t>
      </w:r>
    </w:p>
    <w:p w14:paraId="7531CB4C">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应急领导小组组长由重庆市开州区</w:t>
      </w:r>
      <w:r>
        <w:rPr>
          <w:rFonts w:hint="eastAsia" w:ascii="宋体" w:hAnsi="宋体" w:cs="宋体"/>
          <w:b w:val="0"/>
          <w:bCs w:val="0"/>
          <w:color w:val="auto"/>
          <w:kern w:val="2"/>
          <w:sz w:val="28"/>
          <w:szCs w:val="28"/>
          <w:lang w:val="en-US" w:eastAsia="zh-CN" w:bidi="ar-SA"/>
        </w:rPr>
        <w:t>河堰镇镇长</w:t>
      </w:r>
      <w:r>
        <w:rPr>
          <w:rFonts w:hint="eastAsia" w:ascii="宋体" w:hAnsi="宋体" w:eastAsia="宋体" w:cs="宋体"/>
          <w:color w:val="auto"/>
          <w:sz w:val="28"/>
          <w:szCs w:val="28"/>
          <w:lang w:val="en-US" w:eastAsia="zh-CN"/>
        </w:rPr>
        <w:t>担任，副组长由重庆市开州区</w:t>
      </w:r>
      <w:r>
        <w:rPr>
          <w:rFonts w:hint="eastAsia" w:ascii="宋体" w:hAnsi="宋体" w:cs="宋体"/>
          <w:color w:val="auto"/>
          <w:sz w:val="28"/>
          <w:szCs w:val="28"/>
          <w:lang w:val="en-US" w:eastAsia="zh-CN"/>
        </w:rPr>
        <w:t>河堰镇</w:t>
      </w:r>
      <w:r>
        <w:rPr>
          <w:rFonts w:hint="eastAsia" w:ascii="宋体" w:hAnsi="宋体" w:eastAsia="宋体" w:cs="宋体"/>
          <w:b w:val="0"/>
          <w:bCs/>
          <w:color w:val="auto"/>
          <w:sz w:val="28"/>
          <w:szCs w:val="28"/>
          <w:lang w:val="en-US" w:eastAsia="zh-CN"/>
        </w:rPr>
        <w:t>河堰镇副书记、分管环境副镇长、分管应急副镇长等</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应急领导小组成员由</w:t>
      </w:r>
      <w:r>
        <w:rPr>
          <w:rFonts w:hint="eastAsia" w:ascii="宋体" w:hAnsi="宋体" w:eastAsia="宋体" w:cs="宋体"/>
          <w:b w:val="0"/>
          <w:bCs/>
          <w:color w:val="auto"/>
          <w:sz w:val="28"/>
          <w:szCs w:val="28"/>
          <w:lang w:val="en-US" w:eastAsia="zh-CN"/>
        </w:rPr>
        <w:t>各相关部门负责人及各社区、村负责人担任</w:t>
      </w:r>
      <w:r>
        <w:rPr>
          <w:rFonts w:hint="eastAsia" w:ascii="宋体" w:hAnsi="宋体" w:eastAsia="宋体" w:cs="宋体"/>
          <w:b w:val="0"/>
          <w:bCs w:val="0"/>
          <w:color w:val="auto"/>
          <w:kern w:val="2"/>
          <w:sz w:val="28"/>
          <w:szCs w:val="28"/>
          <w:lang w:val="en-US" w:eastAsia="zh-CN" w:bidi="ar-SA"/>
        </w:rPr>
        <w:t>。</w:t>
      </w:r>
    </w:p>
    <w:p w14:paraId="5F602325">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应急领导小组下设突发环境事件应急办公室（以下简称“应急办公室”），应急办公室设在河堰镇</w:t>
      </w:r>
      <w:r>
        <w:rPr>
          <w:rFonts w:hint="eastAsia" w:ascii="宋体" w:hAnsi="宋体" w:eastAsia="宋体" w:cs="宋体"/>
          <w:b w:val="0"/>
          <w:bCs/>
          <w:color w:val="auto"/>
          <w:sz w:val="28"/>
          <w:szCs w:val="28"/>
          <w:lang w:val="en-US" w:eastAsia="zh-CN"/>
        </w:rPr>
        <w:t>应急管理办公室</w:t>
      </w:r>
      <w:r>
        <w:rPr>
          <w:rFonts w:hint="eastAsia" w:ascii="宋体" w:hAnsi="宋体" w:eastAsia="宋体" w:cs="宋体"/>
          <w:color w:val="auto"/>
          <w:sz w:val="28"/>
          <w:szCs w:val="28"/>
          <w:lang w:val="en-US" w:eastAsia="zh-CN"/>
        </w:rPr>
        <w:t>，由</w:t>
      </w:r>
      <w:r>
        <w:rPr>
          <w:rFonts w:hint="eastAsia" w:ascii="宋体" w:hAnsi="宋体" w:eastAsia="宋体" w:cs="宋体"/>
          <w:b w:val="0"/>
          <w:bCs/>
          <w:color w:val="auto"/>
          <w:sz w:val="28"/>
          <w:szCs w:val="28"/>
          <w:lang w:val="en-US" w:eastAsia="zh-CN"/>
        </w:rPr>
        <w:t>应急管理办公室</w:t>
      </w:r>
      <w:r>
        <w:rPr>
          <w:rFonts w:hint="eastAsia" w:ascii="宋体" w:hAnsi="宋体" w:eastAsia="宋体" w:cs="宋体"/>
          <w:color w:val="auto"/>
          <w:sz w:val="28"/>
          <w:szCs w:val="28"/>
          <w:lang w:val="en-US" w:eastAsia="zh-CN"/>
        </w:rPr>
        <w:t>主任兼任应急办主任，</w:t>
      </w:r>
      <w:r>
        <w:rPr>
          <w:rFonts w:hint="eastAsia" w:ascii="宋体" w:hAnsi="宋体" w:eastAsia="宋体" w:cs="宋体"/>
          <w:b w:val="0"/>
          <w:bCs/>
          <w:color w:val="auto"/>
          <w:sz w:val="28"/>
          <w:szCs w:val="28"/>
          <w:lang w:val="en-US" w:eastAsia="zh-CN"/>
        </w:rPr>
        <w:t>应急管理办公室</w:t>
      </w:r>
      <w:r>
        <w:rPr>
          <w:rFonts w:hint="eastAsia" w:ascii="宋体" w:hAnsi="宋体" w:eastAsia="宋体" w:cs="宋体"/>
          <w:color w:val="auto"/>
          <w:sz w:val="28"/>
          <w:szCs w:val="28"/>
          <w:lang w:val="en-US" w:eastAsia="zh-CN"/>
        </w:rPr>
        <w:t>从事应急工作的相关同志为办公室成员。。</w:t>
      </w:r>
      <w:bookmarkStart w:id="38" w:name="_Toc26095"/>
    </w:p>
    <w:p w14:paraId="65B85EBB">
      <w:pPr>
        <w:keepNext/>
        <w:keepLines/>
        <w:pageBreakBefore w:val="0"/>
        <w:widowControl w:val="0"/>
        <w:kinsoku/>
        <w:wordWrap/>
        <w:overflowPunct/>
        <w:topLinePunct w:val="0"/>
        <w:autoSpaceDE/>
        <w:autoSpaceDN/>
        <w:bidi w:val="0"/>
        <w:adjustRightInd/>
        <w:snapToGrid/>
        <w:spacing w:before="0" w:beforeLines="0" w:after="0" w:afterLines="0" w:line="360" w:lineRule="auto"/>
        <w:ind w:left="0"/>
        <w:jc w:val="left"/>
        <w:textAlignment w:val="auto"/>
        <w:outlineLvl w:val="1"/>
        <w:rPr>
          <w:rFonts w:hint="default" w:ascii="宋体" w:hAnsi="宋体" w:eastAsia="宋体" w:cs="宋体"/>
          <w:b/>
          <w:bCs/>
          <w:color w:val="auto"/>
          <w:kern w:val="2"/>
          <w:sz w:val="32"/>
          <w:szCs w:val="32"/>
          <w:lang w:val="en-US" w:eastAsia="zh-CN" w:bidi="ar-SA"/>
        </w:rPr>
      </w:pPr>
      <w:bookmarkStart w:id="39" w:name="_Toc3359"/>
      <w:r>
        <w:rPr>
          <w:rFonts w:hint="eastAsia" w:ascii="宋体" w:hAnsi="宋体" w:eastAsia="宋体" w:cs="宋体"/>
          <w:b/>
          <w:bCs/>
          <w:color w:val="auto"/>
          <w:kern w:val="2"/>
          <w:sz w:val="32"/>
          <w:szCs w:val="32"/>
          <w:lang w:val="en-US" w:eastAsia="zh-CN" w:bidi="ar-SA"/>
        </w:rPr>
        <w:t>3.2 应急工作机构及职责</w:t>
      </w:r>
      <w:bookmarkEnd w:id="38"/>
      <w:bookmarkEnd w:id="39"/>
    </w:p>
    <w:p w14:paraId="18F9A3E6">
      <w:pPr>
        <w:keepNext w:val="0"/>
        <w:keepLines w:val="0"/>
        <w:pageBreakBefore w:val="0"/>
        <w:widowControl w:val="0"/>
        <w:kinsoku/>
        <w:wordWrap/>
        <w:overflowPunct/>
        <w:topLinePunct w:val="0"/>
        <w:autoSpaceDE/>
        <w:autoSpaceDN/>
        <w:bidi w:val="0"/>
        <w:adjustRightInd/>
        <w:snapToGrid/>
        <w:spacing w:line="360" w:lineRule="auto"/>
        <w:ind w:left="0" w:firstLine="562" w:firstLineChars="200"/>
        <w:textAlignment w:val="auto"/>
        <w:outlineLvl w:val="2"/>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3.2.1 应急指挥部体系</w:t>
      </w:r>
    </w:p>
    <w:p w14:paraId="28389D56">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发生突发环境事件时，应急领导小组自动转换为突发环境事件应急指挥部（以下简称“应急指挥部”），应急指挥部为突发环境事件现场应急指挥机构，应急领导小组组长自动转换为应急总指挥，副组长转换为副总指挥。</w:t>
      </w:r>
    </w:p>
    <w:p w14:paraId="36D81D93">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应急指挥部按照职责分工和协同联动工作需要；下设3个应急工作组：现场处置组、综合协调组、警戒疏散组，开展突发环境事件及其次生、衍生灾害的应急处置工作。应急工作体系图见图3</w:t>
      </w:r>
      <w:r>
        <w:rPr>
          <w:rFonts w:hint="default"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CN"/>
        </w:rPr>
        <w:t>2。</w:t>
      </w:r>
    </w:p>
    <w:p w14:paraId="0DDBFDBF">
      <w:pPr>
        <w:pageBreakBefore w:val="0"/>
        <w:kinsoku/>
        <w:wordWrap/>
        <w:overflowPunct/>
        <w:topLinePunct w:val="0"/>
        <w:bidi w:val="0"/>
        <w:spacing w:before="0" w:beforeLines="0" w:after="0" w:afterLines="0"/>
        <w:ind w:left="0"/>
        <w:jc w:val="center"/>
        <w:textAlignment w:val="auto"/>
        <w:outlineLvl w:val="9"/>
        <w:rPr>
          <w:rFonts w:hint="eastAsia" w:ascii="宋体" w:hAnsi="宋体" w:eastAsia="宋体" w:cs="宋体"/>
          <w:b/>
          <w:bCs/>
          <w:color w:val="auto"/>
          <w:sz w:val="24"/>
          <w:szCs w:val="24"/>
          <w:lang w:val="en-US" w:eastAsia="zh-CN"/>
        </w:rPr>
      </w:pPr>
      <w:r>
        <w:rPr>
          <w:color w:val="auto"/>
          <w:sz w:val="24"/>
        </w:rPr>
        <mc:AlternateContent>
          <mc:Choice Requires="wpg">
            <w:drawing>
              <wp:anchor distT="0" distB="0" distL="114300" distR="114300" simplePos="0" relativeHeight="251664384" behindDoc="0" locked="0" layoutInCell="1" allowOverlap="1">
                <wp:simplePos x="0" y="0"/>
                <wp:positionH relativeFrom="column">
                  <wp:posOffset>1523365</wp:posOffset>
                </wp:positionH>
                <wp:positionV relativeFrom="page">
                  <wp:posOffset>1042670</wp:posOffset>
                </wp:positionV>
                <wp:extent cx="2799715" cy="2386330"/>
                <wp:effectExtent l="4445" t="4445" r="15240" b="9525"/>
                <wp:wrapTopAndBottom/>
                <wp:docPr id="66" name="组合 66"/>
                <wp:cNvGraphicFramePr/>
                <a:graphic xmlns:a="http://schemas.openxmlformats.org/drawingml/2006/main">
                  <a:graphicData uri="http://schemas.microsoft.com/office/word/2010/wordprocessingGroup">
                    <wpg:wgp>
                      <wpg:cNvGrpSpPr/>
                      <wpg:grpSpPr>
                        <a:xfrm>
                          <a:off x="0" y="0"/>
                          <a:ext cx="2799715" cy="2386330"/>
                          <a:chOff x="7345" y="244510"/>
                          <a:chExt cx="4409" cy="3758"/>
                        </a:xfrm>
                        <a:effectLst/>
                      </wpg:grpSpPr>
                      <wps:wsp>
                        <wps:cNvPr id="65" name="矩形 55"/>
                        <wps:cNvSpPr/>
                        <wps:spPr>
                          <a:xfrm>
                            <a:off x="8728" y="244510"/>
                            <a:ext cx="1763" cy="72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D213D32">
                              <w:pPr>
                                <w:jc w:val="center"/>
                                <w:rPr>
                                  <w:rFonts w:hint="eastAsia" w:eastAsia="宋体"/>
                                  <w:sz w:val="28"/>
                                  <w:szCs w:val="28"/>
                                  <w:lang w:eastAsia="zh-CN"/>
                                </w:rPr>
                              </w:pPr>
                              <w:r>
                                <w:rPr>
                                  <w:rFonts w:hint="eastAsia"/>
                                  <w:sz w:val="28"/>
                                  <w:szCs w:val="28"/>
                                  <w:lang w:eastAsia="zh-CN"/>
                                </w:rPr>
                                <w:t>应急指挥部</w:t>
                              </w:r>
                            </w:p>
                          </w:txbxContent>
                        </wps:txbx>
                        <wps:bodyPr upright="1"/>
                      </wps:wsp>
                      <wps:wsp>
                        <wps:cNvPr id="67" name="矩形 57"/>
                        <wps:cNvSpPr/>
                        <wps:spPr>
                          <a:xfrm>
                            <a:off x="9347" y="246566"/>
                            <a:ext cx="569" cy="170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973192">
                              <w:pPr>
                                <w:rPr>
                                  <w:rFonts w:hint="eastAsia" w:eastAsia="宋体" w:cs="Times New Roman"/>
                                  <w:sz w:val="24"/>
                                  <w:szCs w:val="24"/>
                                  <w:lang w:eastAsia="zh-CN"/>
                                </w:rPr>
                              </w:pPr>
                              <w:r>
                                <w:rPr>
                                  <w:rFonts w:hint="eastAsia" w:eastAsia="宋体" w:cs="Times New Roman"/>
                                  <w:sz w:val="24"/>
                                  <w:szCs w:val="24"/>
                                  <w:lang w:eastAsia="zh-CN"/>
                                </w:rPr>
                                <w:t>综合协调组</w:t>
                              </w:r>
                            </w:p>
                          </w:txbxContent>
                        </wps:txbx>
                        <wps:bodyPr upright="1"/>
                      </wps:wsp>
                      <wps:wsp>
                        <wps:cNvPr id="68" name="矩形 58"/>
                        <wps:cNvSpPr/>
                        <wps:spPr>
                          <a:xfrm>
                            <a:off x="11185" y="246566"/>
                            <a:ext cx="569" cy="170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9FD1676">
                              <w:pPr>
                                <w:rPr>
                                  <w:rFonts w:hint="eastAsia" w:eastAsia="宋体"/>
                                  <w:sz w:val="24"/>
                                  <w:szCs w:val="24"/>
                                  <w:lang w:eastAsia="zh-CN"/>
                                </w:rPr>
                              </w:pPr>
                              <w:r>
                                <w:rPr>
                                  <w:rFonts w:hint="eastAsia"/>
                                  <w:sz w:val="24"/>
                                  <w:szCs w:val="24"/>
                                  <w:lang w:eastAsia="zh-CN"/>
                                </w:rPr>
                                <w:t>警戒疏散组</w:t>
                              </w:r>
                            </w:p>
                            <w:p w14:paraId="5C647FD6">
                              <w:pPr>
                                <w:rPr>
                                  <w:rFonts w:hint="eastAsia"/>
                                  <w:lang w:eastAsia="zh-CN"/>
                                </w:rPr>
                              </w:pPr>
                            </w:p>
                          </w:txbxContent>
                        </wps:txbx>
                        <wps:bodyPr upright="1"/>
                      </wps:wsp>
                      <wps:wsp>
                        <wps:cNvPr id="69" name="矩形 59"/>
                        <wps:cNvSpPr/>
                        <wps:spPr>
                          <a:xfrm>
                            <a:off x="7345" y="246566"/>
                            <a:ext cx="569" cy="170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792D1AD">
                              <w:pPr>
                                <w:rPr>
                                  <w:rFonts w:hint="eastAsia" w:eastAsia="宋体"/>
                                  <w:sz w:val="24"/>
                                  <w:szCs w:val="24"/>
                                  <w:lang w:eastAsia="zh-CN"/>
                                </w:rPr>
                              </w:pPr>
                              <w:r>
                                <w:rPr>
                                  <w:rFonts w:hint="eastAsia"/>
                                  <w:sz w:val="24"/>
                                  <w:szCs w:val="24"/>
                                  <w:lang w:val="en-US" w:eastAsia="zh-CN"/>
                                </w:rPr>
                                <w:t>现场</w:t>
                              </w:r>
                              <w:r>
                                <w:rPr>
                                  <w:rFonts w:hint="eastAsia"/>
                                  <w:sz w:val="24"/>
                                  <w:szCs w:val="24"/>
                                  <w:lang w:eastAsia="zh-CN"/>
                                </w:rPr>
                                <w:t>处置组</w:t>
                              </w:r>
                            </w:p>
                          </w:txbxContent>
                        </wps:txbx>
                        <wps:bodyPr upright="1"/>
                      </wps:wsp>
                      <wps:wsp>
                        <wps:cNvPr id="70" name="肘形连接符 61"/>
                        <wps:cNvCnPr>
                          <a:stCxn id="65" idx="2"/>
                          <a:endCxn id="69" idx="0"/>
                        </wps:cNvCnPr>
                        <wps:spPr>
                          <a:xfrm rot="5400000">
                            <a:off x="7951" y="244907"/>
                            <a:ext cx="1329" cy="1980"/>
                          </a:xfrm>
                          <a:prstGeom prst="bentConnector3">
                            <a:avLst>
                              <a:gd name="adj1" fmla="val 50000"/>
                            </a:avLst>
                          </a:prstGeom>
                          <a:ln w="9525" cap="flat" cmpd="sng">
                            <a:solidFill>
                              <a:srgbClr val="000000"/>
                            </a:solidFill>
                            <a:prstDash val="solid"/>
                            <a:miter/>
                            <a:headEnd type="none" w="med" len="med"/>
                            <a:tailEnd type="arrow" w="med" len="med"/>
                          </a:ln>
                          <a:effectLst/>
                        </wps:spPr>
                        <wps:bodyPr/>
                      </wps:wsp>
                      <wps:wsp>
                        <wps:cNvPr id="71" name="肘形连接符 62"/>
                        <wps:cNvCnPr>
                          <a:stCxn id="65" idx="2"/>
                          <a:endCxn id="68" idx="0"/>
                        </wps:cNvCnPr>
                        <wps:spPr>
                          <a:xfrm rot="5400000" flipV="1">
                            <a:off x="9871" y="244967"/>
                            <a:ext cx="1329" cy="1860"/>
                          </a:xfrm>
                          <a:prstGeom prst="bentConnector3">
                            <a:avLst>
                              <a:gd name="adj1" fmla="val 50000"/>
                            </a:avLst>
                          </a:prstGeom>
                          <a:ln w="9525" cap="flat" cmpd="sng">
                            <a:solidFill>
                              <a:srgbClr val="000000"/>
                            </a:solidFill>
                            <a:prstDash val="solid"/>
                            <a:miter/>
                            <a:headEnd type="none" w="med" len="med"/>
                            <a:tailEnd type="arrow" w="med" len="med"/>
                          </a:ln>
                          <a:effectLst/>
                        </wps:spPr>
                        <wps:bodyPr/>
                      </wps:wsp>
                      <wps:wsp>
                        <wps:cNvPr id="72" name="直接连接符 63"/>
                        <wps:cNvCnPr/>
                        <wps:spPr>
                          <a:xfrm>
                            <a:off x="9596" y="245886"/>
                            <a:ext cx="10" cy="675"/>
                          </a:xfrm>
                          <a:prstGeom prst="line">
                            <a:avLst/>
                          </a:prstGeom>
                          <a:ln w="9525" cap="flat" cmpd="sng">
                            <a:solidFill>
                              <a:srgbClr val="000000"/>
                            </a:solidFill>
                            <a:prstDash val="solid"/>
                            <a:headEnd type="none" w="med" len="med"/>
                            <a:tailEnd type="arrow" w="med" len="med"/>
                          </a:ln>
                          <a:effectLst/>
                        </wps:spPr>
                        <wps:bodyPr upright="1"/>
                      </wps:wsp>
                    </wpg:wgp>
                  </a:graphicData>
                </a:graphic>
              </wp:anchor>
            </w:drawing>
          </mc:Choice>
          <mc:Fallback>
            <w:pict>
              <v:group id="_x0000_s1026" o:spid="_x0000_s1026" o:spt="203" style="position:absolute;left:0pt;margin-left:119.95pt;margin-top:82.1pt;height:187.9pt;width:220.45pt;mso-position-vertical-relative:page;mso-wrap-distance-bottom:0pt;mso-wrap-distance-top:0pt;z-index:251664384;mso-width-relative:page;mso-height-relative:page;" coordorigin="7345,244510" coordsize="4409,3758" o:gfxdata="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">
                <o:lock v:ext="edit" aspectratio="f"/>
                <v:rect id="矩形 55" o:spid="_x0000_s1026" o:spt="1" style="position:absolute;left:8728;top:244510;height:727;width:1763;" fillcolor="#FFFFFF" filled="t" stroked="t" coordsize="21600,21600" o:gfxdata="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3tznS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D213D32">
                        <w:pPr>
                          <w:jc w:val="center"/>
                          <w:rPr>
                            <w:rFonts w:hint="eastAsia" w:eastAsia="宋体"/>
                            <w:sz w:val="28"/>
                            <w:szCs w:val="28"/>
                            <w:lang w:eastAsia="zh-CN"/>
                          </w:rPr>
                        </w:pPr>
                        <w:r>
                          <w:rPr>
                            <w:rFonts w:hint="eastAsia"/>
                            <w:sz w:val="28"/>
                            <w:szCs w:val="28"/>
                            <w:lang w:eastAsia="zh-CN"/>
                          </w:rPr>
                          <w:t>应急指挥部</w:t>
                        </w:r>
                      </w:p>
                    </w:txbxContent>
                  </v:textbox>
                </v:rect>
                <v:rect id="矩形 57" o:spid="_x0000_s1026" o:spt="1" style="position:absolute;left:9347;top:246566;height:1702;width:569;" fillcolor="#FFFFFF" filled="t" stroked="t" coordsize="21600,21600" o:gfxdata="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P1m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5973192">
                        <w:pPr>
                          <w:rPr>
                            <w:rFonts w:hint="eastAsia" w:eastAsia="宋体" w:cs="Times New Roman"/>
                            <w:sz w:val="24"/>
                            <w:szCs w:val="24"/>
                            <w:lang w:eastAsia="zh-CN"/>
                          </w:rPr>
                        </w:pPr>
                        <w:r>
                          <w:rPr>
                            <w:rFonts w:hint="eastAsia" w:eastAsia="宋体" w:cs="Times New Roman"/>
                            <w:sz w:val="24"/>
                            <w:szCs w:val="24"/>
                            <w:lang w:eastAsia="zh-CN"/>
                          </w:rPr>
                          <w:t>综合协调组</w:t>
                        </w:r>
                      </w:p>
                    </w:txbxContent>
                  </v:textbox>
                </v:rect>
                <v:rect id="矩形 58" o:spid="_x0000_s1026" o:spt="1" style="position:absolute;left:11185;top:246566;height:1702;width:569;" fillcolor="#FFFFFF" filled="t" stroked="t" coordsize="21600,21600" o:gfxdata="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xh6rgAAADbAAAA&#10;DwAAAAAAAAABACAAAAAiAAAAZHJzL2Rvd25yZXYueG1sUEsBAhQAFAAAAAgAh07iQDMvBZ47AAAA&#10;OQAAABAAAAAAAAAAAQAgAAAABwEAAGRycy9zaGFwZXhtbC54bWxQSwUGAAAAAAYABgBbAQAAsQMA&#10;AAAA&#10;">
                  <v:fill on="t" focussize="0,0"/>
                  <v:stroke color="#000000" joinstyle="miter"/>
                  <v:imagedata o:title=""/>
                  <o:lock v:ext="edit" aspectratio="f"/>
                  <v:textbox>
                    <w:txbxContent>
                      <w:p w14:paraId="49FD1676">
                        <w:pPr>
                          <w:rPr>
                            <w:rFonts w:hint="eastAsia" w:eastAsia="宋体"/>
                            <w:sz w:val="24"/>
                            <w:szCs w:val="24"/>
                            <w:lang w:eastAsia="zh-CN"/>
                          </w:rPr>
                        </w:pPr>
                        <w:r>
                          <w:rPr>
                            <w:rFonts w:hint="eastAsia"/>
                            <w:sz w:val="24"/>
                            <w:szCs w:val="24"/>
                            <w:lang w:eastAsia="zh-CN"/>
                          </w:rPr>
                          <w:t>警戒疏散组</w:t>
                        </w:r>
                      </w:p>
                      <w:p w14:paraId="5C647FD6">
                        <w:pPr>
                          <w:rPr>
                            <w:rFonts w:hint="eastAsia"/>
                            <w:lang w:eastAsia="zh-CN"/>
                          </w:rPr>
                        </w:pPr>
                      </w:p>
                    </w:txbxContent>
                  </v:textbox>
                </v:rect>
                <v:rect id="矩形 59" o:spid="_x0000_s1026" o:spt="1" style="position:absolute;left:7345;top:246566;height:1702;width:569;" fillcolor="#FFFFFF" filled="t" stroked="t" coordsize="21600,21600" o:gfxdata="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KDEc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792D1AD">
                        <w:pPr>
                          <w:rPr>
                            <w:rFonts w:hint="eastAsia" w:eastAsia="宋体"/>
                            <w:sz w:val="24"/>
                            <w:szCs w:val="24"/>
                            <w:lang w:eastAsia="zh-CN"/>
                          </w:rPr>
                        </w:pPr>
                        <w:r>
                          <w:rPr>
                            <w:rFonts w:hint="eastAsia"/>
                            <w:sz w:val="24"/>
                            <w:szCs w:val="24"/>
                            <w:lang w:val="en-US" w:eastAsia="zh-CN"/>
                          </w:rPr>
                          <w:t>现场</w:t>
                        </w:r>
                        <w:r>
                          <w:rPr>
                            <w:rFonts w:hint="eastAsia"/>
                            <w:sz w:val="24"/>
                            <w:szCs w:val="24"/>
                            <w:lang w:eastAsia="zh-CN"/>
                          </w:rPr>
                          <w:t>处置组</w:t>
                        </w:r>
                      </w:p>
                    </w:txbxContent>
                  </v:textbox>
                </v:rect>
                <v:shape id="肘形连接符 61" o:spid="_x0000_s1026" o:spt="34" type="#_x0000_t34" style="position:absolute;left:7951;top:244907;height:1980;width:1329;rotation:5898240f;" filled="f" stroked="t" coordsize="21600,21600" o:gfxdata="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9Cd60ugAAANsA&#10;AAAPAAAAAAAAAAEAIAAAACIAAABkcnMvZG93bnJldi54bWxQSwECFAAUAAAACACHTuJAMy8FnjsA&#10;AAA5AAAAEAAAAAAAAAABACAAAAAJAQAAZHJzL3NoYXBleG1sLnhtbFBLBQYAAAAABgAGAFsBAACz&#10;AwAAAAA=&#10;" adj="10800">
                  <v:fill on="f" focussize="0,0"/>
                  <v:stroke color="#000000" joinstyle="miter" endarrow="open"/>
                  <v:imagedata o:title=""/>
                  <o:lock v:ext="edit" aspectratio="f"/>
                </v:shape>
                <v:shape id="肘形连接符 62" o:spid="_x0000_s1026" o:spt="34" type="#_x0000_t34" style="position:absolute;left:9871;top:244967;flip:y;height:1860;width:1329;rotation:-5898240f;" filled="f" stroked="t" coordsize="21600,21600" o:gfxdata="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E/Ugr4A&#10;AADbAAAADwAAAAAAAAABACAAAAAiAAAAZHJzL2Rvd25yZXYueG1sUEsBAhQAFAAAAAgAh07iQDMv&#10;BZ47AAAAOQAAABAAAAAAAAAAAQAgAAAADQEAAGRycy9zaGFwZXhtbC54bWxQSwUGAAAAAAYABgBb&#10;AQAAtwMAAAAA&#10;" adj="10800">
                  <v:fill on="f" focussize="0,0"/>
                  <v:stroke color="#000000" joinstyle="miter" endarrow="open"/>
                  <v:imagedata o:title=""/>
                  <o:lock v:ext="edit" aspectratio="f"/>
                </v:shape>
                <v:line id="直接连接符 63" o:spid="_x0000_s1026" o:spt="20" style="position:absolute;left:9596;top:245886;height:675;width:10;" filled="f" stroked="t" coordsize="21600,21600" o:gfxdata="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M4TSL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w10:wrap type="topAndBottom"/>
              </v:group>
            </w:pict>
          </mc:Fallback>
        </mc:AlternateContent>
      </w:r>
      <w:r>
        <w:rPr>
          <w:rFonts w:hint="eastAsia" w:ascii="宋体" w:hAnsi="宋体" w:eastAsia="宋体" w:cs="宋体"/>
          <w:b/>
          <w:bCs/>
          <w:color w:val="auto"/>
          <w:sz w:val="24"/>
          <w:szCs w:val="24"/>
          <w:lang w:val="en-US" w:eastAsia="zh-CN"/>
        </w:rPr>
        <w:t>图3-2 应急工作体系图</w:t>
      </w:r>
    </w:p>
    <w:p w14:paraId="59062A69">
      <w:pPr>
        <w:keepNext w:val="0"/>
        <w:keepLines w:val="0"/>
        <w:pageBreakBefore w:val="0"/>
        <w:widowControl w:val="0"/>
        <w:kinsoku/>
        <w:wordWrap/>
        <w:overflowPunct/>
        <w:topLinePunct w:val="0"/>
        <w:autoSpaceDE/>
        <w:autoSpaceDN/>
        <w:bidi w:val="0"/>
        <w:adjustRightInd/>
        <w:snapToGrid/>
        <w:spacing w:line="360" w:lineRule="auto"/>
        <w:ind w:left="0" w:firstLine="562" w:firstLineChars="200"/>
        <w:textAlignment w:val="auto"/>
        <w:outlineLvl w:val="2"/>
        <w:rPr>
          <w:rFonts w:hint="default"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3.2.2 应急指挥部职责</w:t>
      </w:r>
    </w:p>
    <w:p w14:paraId="4309874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3"/>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3.2.2.1 应急指挥部</w:t>
      </w:r>
    </w:p>
    <w:p w14:paraId="7D366014">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1）宣布成立现场应急指挥部；</w:t>
      </w:r>
    </w:p>
    <w:p w14:paraId="63841B33">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2）发生水源地突发环境事件时，亲自或委托副指挥长赶赴现场进行指挥；</w:t>
      </w:r>
    </w:p>
    <w:p w14:paraId="56680D7C">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3）组织开展现场应急处置；</w:t>
      </w:r>
    </w:p>
    <w:p w14:paraId="1EA1106D">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4）贯彻执行当地或上级人民政府及有关部门的应急指令；</w:t>
      </w:r>
    </w:p>
    <w:p w14:paraId="1DC6B09F">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5）研判突发环境事件发展态势，组织制定并批准现场处置方案；</w:t>
      </w:r>
    </w:p>
    <w:p w14:paraId="074DC1D8">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6）按照预警、应急启动或终止条件，决定预案的启动或终止；</w:t>
      </w:r>
    </w:p>
    <w:p w14:paraId="2AAFC5B6">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7）组织开展损害评估等后期工作。</w:t>
      </w:r>
    </w:p>
    <w:p w14:paraId="06BD322D">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8）接受上级领导部门交办任务。</w:t>
      </w:r>
    </w:p>
    <w:p w14:paraId="7FDC461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3"/>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3.2.2.2 现场处置组</w:t>
      </w:r>
    </w:p>
    <w:p w14:paraId="7C118BE0">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组  长：分管应急副镇长</w:t>
      </w:r>
    </w:p>
    <w:p w14:paraId="281214FE">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副组长：应急管理办公室主任、村镇建设服务中心主任、水利服务中心站长</w:t>
      </w:r>
    </w:p>
    <w:p w14:paraId="755B3193">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  员：村镇建设服务中心职工、村镇建设服务中心职工、水利服务中心职工、应急管理办公室职工、应急管理办公室职工、应急管理办公室职工、应急管理办公室职工</w:t>
      </w:r>
    </w:p>
    <w:p w14:paraId="67F2B972">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主要职责：</w:t>
      </w:r>
    </w:p>
    <w:p w14:paraId="1A303446">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1）根据突发环境事件的性质、社会危害程度、可控性和影响范围，明确应对应急处置工作方案。</w:t>
      </w:r>
    </w:p>
    <w:p w14:paraId="25763F26">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2）制定人员搜救方案，指导现场处置人员的安全防护和遇险人员自救，清点、寻找事件现场内涉险人员，并将其从危险区疏散撤离。</w:t>
      </w:r>
    </w:p>
    <w:p w14:paraId="1C0CA383">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3）迅速组织切断污染源，分析污染途径，明确防止污染物扩散的路径；组织采取有效措施。对风险物质收集为主，开展围堵、疏导、收集的应急处置工作。</w:t>
      </w:r>
    </w:p>
    <w:p w14:paraId="19577762">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4）消除或减轻已经造成的污染，明确不同情况下的现场处置人员须采取的个人防护措施。</w:t>
      </w:r>
    </w:p>
    <w:p w14:paraId="025F6F2F">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5）实施持续有序高效组织开展突发环境事件影响区域的应急处置工作。</w:t>
      </w:r>
    </w:p>
    <w:p w14:paraId="763DF55C">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6）完成应急指挥部交办的其他任务。</w:t>
      </w:r>
    </w:p>
    <w:p w14:paraId="72A4CE9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3"/>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3.2.2.3 综合协调组</w:t>
      </w:r>
    </w:p>
    <w:p w14:paraId="7C97714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组  长：组织委员</w:t>
      </w:r>
    </w:p>
    <w:p w14:paraId="6EE815A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副组长：党政办主任</w:t>
      </w:r>
    </w:p>
    <w:p w14:paraId="5ADDE6B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  员：党政办职工、党政办职工、党政办职工、党政办职工</w:t>
      </w:r>
    </w:p>
    <w:p w14:paraId="158409CA">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主要职责：</w:t>
      </w:r>
    </w:p>
    <w:p w14:paraId="4F41B105">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1</w:t>
      </w:r>
      <w:r>
        <w:rPr>
          <w:rFonts w:hint="eastAsia" w:ascii="宋体" w:hAnsi="宋体" w:eastAsia="宋体" w:cs="宋体"/>
          <w:color w:val="auto"/>
          <w:sz w:val="28"/>
          <w:szCs w:val="28"/>
          <w:lang w:val="en-US" w:eastAsia="zh-CN"/>
        </w:rPr>
        <w:t>）负责事发现场相关信息的收集、汇总、处理，组织编制环境事件报告。</w:t>
      </w:r>
    </w:p>
    <w:p w14:paraId="4992BA38">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lang w:val="en-US" w:eastAsia="zh-CN"/>
        </w:rPr>
        <w:t>2</w:t>
      </w:r>
      <w:r>
        <w:rPr>
          <w:rFonts w:hint="eastAsia" w:ascii="宋体" w:hAnsi="宋体" w:eastAsia="宋体" w:cs="宋体"/>
          <w:color w:val="auto"/>
          <w:sz w:val="28"/>
          <w:szCs w:val="28"/>
          <w:lang w:val="en-US" w:eastAsia="zh-CN"/>
        </w:rPr>
        <w:t>）及时向区政府和上级主管部门报送信息，</w:t>
      </w:r>
      <w:r>
        <w:rPr>
          <w:rFonts w:hint="eastAsia" w:ascii="宋体" w:hAnsi="宋体" w:eastAsia="宋体" w:cs="宋体"/>
          <w:color w:val="auto"/>
          <w:sz w:val="28"/>
          <w:szCs w:val="28"/>
          <w:highlight w:val="none"/>
          <w:lang w:val="en-US" w:eastAsia="zh-CN"/>
        </w:rPr>
        <w:t>协调区、街道的环境应急处置力量。</w:t>
      </w:r>
    </w:p>
    <w:p w14:paraId="16D7AC74">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3</w:t>
      </w:r>
      <w:r>
        <w:rPr>
          <w:rFonts w:hint="eastAsia" w:ascii="宋体" w:hAnsi="宋体" w:eastAsia="宋体" w:cs="宋体"/>
          <w:color w:val="auto"/>
          <w:sz w:val="28"/>
          <w:szCs w:val="28"/>
          <w:lang w:val="en-US" w:eastAsia="zh-CN"/>
        </w:rPr>
        <w:t>）负责保持与各单位（部门）的信息联络工作</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负责制定应急供水保障方案；负责指导供水单位启动深度处 理设施或备用水源以及应急供水车等措施，保障居民用水；</w:t>
      </w:r>
    </w:p>
    <w:p w14:paraId="2FBDC2B2">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4</w:t>
      </w:r>
      <w:r>
        <w:rPr>
          <w:rFonts w:hint="eastAsia" w:ascii="宋体" w:hAnsi="宋体" w:eastAsia="宋体" w:cs="宋体"/>
          <w:color w:val="auto"/>
          <w:sz w:val="28"/>
          <w:szCs w:val="28"/>
          <w:lang w:val="en-US" w:eastAsia="zh-CN"/>
        </w:rPr>
        <w:t>）对预警、应急处置、事件调查、信息报送、信息通报、信息发布等工作进行统筹协调、指挥调度、督促落实。</w:t>
      </w:r>
    </w:p>
    <w:p w14:paraId="67CAE010">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5</w:t>
      </w:r>
      <w:r>
        <w:rPr>
          <w:rFonts w:hint="eastAsia" w:ascii="宋体" w:hAnsi="宋体" w:eastAsia="宋体" w:cs="宋体"/>
          <w:color w:val="auto"/>
          <w:sz w:val="28"/>
          <w:szCs w:val="28"/>
          <w:lang w:val="en-US" w:eastAsia="zh-CN"/>
        </w:rPr>
        <w:t>）组织做好环境应急救援物资及临时安置重要物资的紧急储备调拨和紧急配送工作。</w:t>
      </w:r>
    </w:p>
    <w:p w14:paraId="399043F1">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6）及时组织调运生活必需品，保障事件区域附近群众基本生活和市场供应。</w:t>
      </w:r>
    </w:p>
    <w:p w14:paraId="046C8B6F">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7）组织开展应急工作的信息发布工作，加强新闻宣传。收集分析舆情和社会公众动态，及时澄清不实信息，回应社会关切。加强媒体、电信和互联网的管理，正确引导舆论。</w:t>
      </w:r>
    </w:p>
    <w:p w14:paraId="2679457B">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w:t>
      </w:r>
      <w:r>
        <w:rPr>
          <w:rFonts w:hint="default" w:ascii="宋体" w:hAnsi="宋体" w:eastAsia="宋体" w:cs="宋体"/>
          <w:color w:val="auto"/>
          <w:sz w:val="28"/>
          <w:szCs w:val="28"/>
          <w:lang w:val="en-US" w:eastAsia="zh-CN"/>
        </w:rPr>
        <w:t>）突发环境事件处置工作结束后，负责开展善后处置工作，包括人员安置、抚恤补偿、保险理赔、医疗补助、征用补偿、救援物资供应、环境污染消除、污染源监控和治理等措施</w:t>
      </w:r>
    </w:p>
    <w:p w14:paraId="045F892A">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9</w:t>
      </w:r>
      <w:r>
        <w:rPr>
          <w:rFonts w:hint="default" w:ascii="宋体" w:hAnsi="宋体" w:eastAsia="宋体" w:cs="宋体"/>
          <w:color w:val="auto"/>
          <w:sz w:val="28"/>
          <w:szCs w:val="28"/>
          <w:lang w:val="en-US" w:eastAsia="zh-CN"/>
        </w:rPr>
        <w:t>）防止事件造成次生、衍生危害，尽快恢复正常秩序，确保社会稳定。</w:t>
      </w:r>
    </w:p>
    <w:p w14:paraId="3A327457">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10）完成应急指挥部交办的其他任务。</w:t>
      </w:r>
    </w:p>
    <w:p w14:paraId="0DBD9EE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3"/>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3.2.2.4 警戒疏散组</w:t>
      </w:r>
    </w:p>
    <w:p w14:paraId="101B76DF">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组  长：党委副书记</w:t>
      </w:r>
    </w:p>
    <w:p w14:paraId="007BB96C">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副组长：派出所所长</w:t>
      </w:r>
    </w:p>
    <w:p w14:paraId="1647F833">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  员：派出所民警、派出所民警、应急管理办公室职工、应急管理办公室职工、应急管理办公室职工</w:t>
      </w:r>
    </w:p>
    <w:p w14:paraId="42D62B11">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主要职责：</w:t>
      </w:r>
    </w:p>
    <w:p w14:paraId="669D8FA4">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根据突发环境事件的污染物种类、性质以及当地气象、自然、社会环境状况等，配合区政府、区生态环境局或专家等明确相应的应急监测方案及监测方法，协调、配合监测单位开展应急监测，及时为突发环境事件应急决策提供依据。</w:t>
      </w:r>
    </w:p>
    <w:p w14:paraId="3D786DE0">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2）依据现场监测的情况，为事件区域设置警戒区域提供科学依据，并划定现场警戒和交通管制区域，确定重点防护区域。</w:t>
      </w:r>
    </w:p>
    <w:p w14:paraId="5F6CAAFE">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3）确定受威胁人员疏散的方式和途径，疏散转移受威胁人员至紧急避险场所。</w:t>
      </w:r>
    </w:p>
    <w:p w14:paraId="2DB7DB67">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4）及时组织开展伤病员医疗救治、应急心理援助，将人员伤害降低到最小，协助开展受污染人员的卫生防疫工作。</w:t>
      </w:r>
    </w:p>
    <w:p w14:paraId="00B4B147">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5）负责事件现场警戒，及时对无关人员疏散，疏通消防通道，确保消防、医疗救护车辆能抵达事件现场。</w:t>
      </w:r>
    </w:p>
    <w:p w14:paraId="143CBAD8">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6）维护事件现场治安秩序，确保事件应急救援工作顺利开展。</w:t>
      </w:r>
    </w:p>
    <w:p w14:paraId="55AD6E6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7）完成应急指挥部交办的其他任务。</w:t>
      </w:r>
    </w:p>
    <w:p w14:paraId="38F45D4A">
      <w:pPr>
        <w:rPr>
          <w:rStyle w:val="18"/>
          <w:rFonts w:hint="eastAsia" w:ascii="宋体" w:hAnsi="宋体" w:eastAsia="宋体" w:cs="宋体"/>
          <w:b/>
          <w:bCs/>
          <w:color w:val="000000"/>
          <w:sz w:val="32"/>
          <w:szCs w:val="32"/>
          <w:lang w:val="en-US" w:eastAsia="zh-CN"/>
        </w:rPr>
      </w:pPr>
      <w:bookmarkStart w:id="40" w:name="_Toc403343074"/>
      <w:bookmarkStart w:id="41" w:name="_Toc386313017"/>
      <w:bookmarkStart w:id="42" w:name="_Toc18923"/>
      <w:r>
        <w:rPr>
          <w:rStyle w:val="18"/>
          <w:rFonts w:hint="eastAsia" w:ascii="宋体" w:hAnsi="宋体" w:eastAsia="宋体" w:cs="宋体"/>
          <w:b/>
          <w:bCs/>
          <w:color w:val="000000"/>
          <w:sz w:val="32"/>
          <w:szCs w:val="32"/>
          <w:lang w:val="en-US" w:eastAsia="zh-CN"/>
        </w:rPr>
        <w:br w:type="page"/>
      </w:r>
    </w:p>
    <w:bookmarkEnd w:id="40"/>
    <w:bookmarkEnd w:id="41"/>
    <w:bookmarkEnd w:id="42"/>
    <w:p w14:paraId="2E5FEC5D">
      <w:pPr>
        <w:pStyle w:val="14"/>
        <w:keepNext w:val="0"/>
        <w:keepLines w:val="0"/>
        <w:pageBreakBefore w:val="0"/>
        <w:widowControl/>
        <w:kinsoku/>
        <w:wordWrap/>
        <w:overflowPunct/>
        <w:topLinePunct w:val="0"/>
        <w:autoSpaceDE/>
        <w:autoSpaceDN/>
        <w:bidi w:val="0"/>
        <w:adjustRightInd w:val="0"/>
        <w:snapToGrid/>
        <w:spacing w:beforeAutospacing="0" w:line="360" w:lineRule="auto"/>
        <w:ind w:firstLine="0" w:firstLineChars="0"/>
        <w:jc w:val="center"/>
        <w:textAlignment w:val="auto"/>
        <w:outlineLvl w:val="0"/>
        <w:rPr>
          <w:rStyle w:val="18"/>
          <w:rFonts w:hint="default" w:ascii="宋体" w:hAnsi="宋体" w:eastAsia="宋体" w:cs="宋体"/>
          <w:b/>
          <w:bCs/>
          <w:color w:val="000000"/>
          <w:sz w:val="32"/>
          <w:szCs w:val="32"/>
          <w:lang w:val="en-US" w:eastAsia="zh-CN"/>
        </w:rPr>
      </w:pPr>
      <w:bookmarkStart w:id="43" w:name="_Toc30376"/>
      <w:bookmarkStart w:id="44" w:name="_Toc13839"/>
      <w:bookmarkStart w:id="45" w:name="_Toc981"/>
      <w:bookmarkStart w:id="46" w:name="_Toc9732"/>
      <w:r>
        <w:rPr>
          <w:rStyle w:val="18"/>
          <w:rFonts w:hint="eastAsia" w:ascii="宋体" w:hAnsi="宋体" w:eastAsia="宋体" w:cs="宋体"/>
          <w:b/>
          <w:bCs/>
          <w:color w:val="000000"/>
          <w:sz w:val="32"/>
          <w:szCs w:val="32"/>
          <w:lang w:val="en-US" w:eastAsia="zh-CN"/>
        </w:rPr>
        <w:t>4</w:t>
      </w:r>
      <w:r>
        <w:rPr>
          <w:rStyle w:val="18"/>
          <w:rFonts w:hint="eastAsia" w:ascii="宋体" w:hAnsi="宋体" w:cs="宋体"/>
          <w:b/>
          <w:bCs/>
          <w:color w:val="000000"/>
          <w:sz w:val="32"/>
          <w:szCs w:val="32"/>
          <w:lang w:val="en-US" w:eastAsia="zh-CN"/>
        </w:rPr>
        <w:t xml:space="preserve"> </w:t>
      </w:r>
      <w:r>
        <w:rPr>
          <w:rStyle w:val="18"/>
          <w:rFonts w:hint="eastAsia" w:cs="宋体"/>
          <w:b/>
          <w:bCs/>
          <w:color w:val="000000"/>
          <w:sz w:val="32"/>
          <w:szCs w:val="32"/>
          <w:lang w:val="en-US" w:eastAsia="zh-CN"/>
        </w:rPr>
        <w:t>应急响应</w:t>
      </w:r>
      <w:bookmarkEnd w:id="43"/>
      <w:bookmarkEnd w:id="44"/>
    </w:p>
    <w:p w14:paraId="2B78A8E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rPr>
          <w:rFonts w:hint="default" w:ascii="宋体" w:hAnsi="宋体" w:eastAsia="宋体" w:cs="宋体"/>
          <w:color w:val="auto"/>
          <w:sz w:val="28"/>
          <w:szCs w:val="28"/>
          <w:lang w:val="en-US" w:eastAsia="zh-CN"/>
        </w:rPr>
      </w:pPr>
      <w:r>
        <w:rPr>
          <w:rFonts w:hint="eastAsia"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突发环境事件应急响应程序包括信息收集和研判、预警、信息报告与通报、事态研判、应急监测、污染源排查与处置、应急处置、物资调集及应急设施启用、舆情监测与信息发布、响应终止等工作内容。主要应急响应流程图见图4.1-1。</w:t>
      </w:r>
    </w:p>
    <w:p w14:paraId="336345E0">
      <w:pPr>
        <w:pStyle w:val="2"/>
        <w:rPr>
          <w:rFonts w:hint="eastAsia"/>
          <w:lang w:val="en-US" w:eastAsia="zh-CN"/>
        </w:rPr>
      </w:pPr>
      <w:r>
        <w:rPr>
          <w:rFonts w:hint="default" w:ascii="Times New Roman" w:hAnsi="Times New Roman" w:eastAsia="宋体" w:cs="Times New Roman"/>
          <w:color w:val="000000"/>
          <w:kern w:val="2"/>
          <w:sz w:val="21"/>
          <w:szCs w:val="24"/>
          <w:lang w:val="en-US" w:eastAsia="zh-CN" w:bidi="ar-SA"/>
        </w:rPr>
        <w:drawing>
          <wp:anchor distT="0" distB="0" distL="114300" distR="114300" simplePos="0" relativeHeight="251665408" behindDoc="0" locked="0" layoutInCell="1" allowOverlap="1">
            <wp:simplePos x="0" y="0"/>
            <wp:positionH relativeFrom="column">
              <wp:posOffset>-20320</wp:posOffset>
            </wp:positionH>
            <wp:positionV relativeFrom="paragraph">
              <wp:posOffset>0</wp:posOffset>
            </wp:positionV>
            <wp:extent cx="5788660" cy="6143625"/>
            <wp:effectExtent l="0" t="0" r="2540" b="9525"/>
            <wp:wrapTopAndBottom/>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0"/>
                    <a:stretch>
                      <a:fillRect/>
                    </a:stretch>
                  </pic:blipFill>
                  <pic:spPr>
                    <a:xfrm>
                      <a:off x="0" y="0"/>
                      <a:ext cx="5788660" cy="6143625"/>
                    </a:xfrm>
                    <a:prstGeom prst="rect">
                      <a:avLst/>
                    </a:prstGeom>
                    <a:noFill/>
                    <a:ln>
                      <a:noFill/>
                    </a:ln>
                  </pic:spPr>
                </pic:pic>
              </a:graphicData>
            </a:graphic>
          </wp:anchor>
        </w:drawing>
      </w:r>
    </w:p>
    <w:p w14:paraId="439F17E4">
      <w:pPr>
        <w:pStyle w:val="20"/>
        <w:spacing w:line="520" w:lineRule="exact"/>
        <w:ind w:firstLine="0" w:firstLineChars="0"/>
        <w:jc w:val="center"/>
        <w:rPr>
          <w:rFonts w:hint="eastAsia" w:ascii="宋体" w:hAnsi="宋体" w:cs="Times New Roman"/>
          <w:b/>
          <w:bCs/>
          <w:sz w:val="24"/>
          <w:lang w:val="en-US" w:eastAsia="zh-CN"/>
        </w:rPr>
      </w:pPr>
      <w:r>
        <w:rPr>
          <w:rFonts w:hint="eastAsia" w:ascii="宋体" w:hAnsi="宋体" w:cs="Times New Roman"/>
          <w:b/>
          <w:bCs/>
          <w:sz w:val="24"/>
          <w:lang w:val="en-US" w:eastAsia="zh-CN"/>
        </w:rPr>
        <w:t>图4.1-1 应急响应流程图</w:t>
      </w:r>
    </w:p>
    <w:p w14:paraId="63571ECC">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47" w:name="_Toc186123037"/>
      <w:bookmarkStart w:id="48" w:name="_Toc186125025"/>
      <w:bookmarkStart w:id="49" w:name="_Toc186122732"/>
      <w:bookmarkStart w:id="50" w:name="_Toc4623"/>
      <w:bookmarkStart w:id="51" w:name="_Toc186124190"/>
      <w:bookmarkStart w:id="52" w:name="_Toc24859"/>
      <w:r>
        <w:rPr>
          <w:rFonts w:hint="eastAsia" w:ascii="宋体" w:hAnsi="宋体" w:cs="宋体"/>
          <w:b/>
          <w:bCs/>
          <w:color w:val="000000"/>
          <w:sz w:val="28"/>
          <w:szCs w:val="28"/>
          <w:lang w:val="en-US" w:eastAsia="zh-CN"/>
        </w:rPr>
        <w:t>4</w:t>
      </w:r>
      <w:r>
        <w:rPr>
          <w:rFonts w:hint="eastAsia" w:ascii="宋体" w:hAnsi="宋体" w:eastAsia="宋体" w:cs="宋体"/>
          <w:b/>
          <w:bCs/>
          <w:color w:val="000000"/>
          <w:sz w:val="28"/>
          <w:szCs w:val="28"/>
          <w:lang w:val="en-US" w:eastAsia="zh-CN"/>
        </w:rPr>
        <w:t>.1</w:t>
      </w:r>
      <w:r>
        <w:rPr>
          <w:rFonts w:hint="eastAsia" w:ascii="宋体" w:hAnsi="宋体" w:cs="宋体"/>
          <w:b/>
          <w:bCs/>
          <w:color w:val="000000"/>
          <w:sz w:val="28"/>
          <w:szCs w:val="28"/>
          <w:lang w:val="en-US" w:eastAsia="zh-CN"/>
        </w:rPr>
        <w:t xml:space="preserve"> </w:t>
      </w:r>
      <w:r>
        <w:rPr>
          <w:rFonts w:hint="eastAsia" w:ascii="宋体" w:hAnsi="宋体" w:eastAsia="宋体" w:cs="宋体"/>
          <w:b/>
          <w:bCs/>
          <w:color w:val="000000"/>
          <w:sz w:val="28"/>
          <w:szCs w:val="28"/>
          <w:lang w:val="en-US" w:eastAsia="zh-CN"/>
        </w:rPr>
        <w:t>信息收集与研判</w:t>
      </w:r>
      <w:bookmarkEnd w:id="47"/>
      <w:bookmarkEnd w:id="48"/>
      <w:bookmarkEnd w:id="49"/>
      <w:bookmarkEnd w:id="50"/>
      <w:bookmarkEnd w:id="51"/>
      <w:bookmarkEnd w:id="52"/>
    </w:p>
    <w:p w14:paraId="6CD7E095">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.1.1 信息收集</w:t>
      </w:r>
    </w:p>
    <w:p w14:paraId="1360E5C0">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信息来源包括但不限于以下途径：通过流域、水源地或供水单位开展的水质监督性监测（常规断面）、在线监测（常规和预警监控断面）等日常监管渠道获取水质异常信息，也可以通过水文气象、地质灾害、污染源排放等信息开展水质预测预警，获取水质异常信息；通过水源地上游及周边主要风险源监控获取异常排放信息、相关部门报告、群众举报获取事故信息；通过各部门之间以及饮用水水源地上下游相邻</w:t>
      </w:r>
      <w:r>
        <w:rPr>
          <w:rFonts w:hint="eastAsia" w:ascii="宋体" w:hAnsi="宋体" w:cs="宋体"/>
          <w:color w:val="auto"/>
          <w:sz w:val="28"/>
          <w:szCs w:val="28"/>
          <w:lang w:val="en-US" w:eastAsia="zh-CN"/>
        </w:rPr>
        <w:t>镇</w:t>
      </w:r>
      <w:r>
        <w:rPr>
          <w:rFonts w:hint="eastAsia" w:ascii="宋体" w:hAnsi="宋体" w:eastAsia="宋体" w:cs="宋体"/>
          <w:color w:val="auto"/>
          <w:sz w:val="28"/>
          <w:szCs w:val="28"/>
          <w:lang w:val="en-US" w:eastAsia="zh-CN"/>
        </w:rPr>
        <w:t>人民政府</w:t>
      </w:r>
      <w:r>
        <w:rPr>
          <w:rFonts w:hint="eastAsia" w:ascii="宋体" w:hAnsi="宋体" w:cs="宋体"/>
          <w:color w:val="auto"/>
          <w:sz w:val="28"/>
          <w:szCs w:val="28"/>
          <w:lang w:val="en-US" w:eastAsia="zh-CN"/>
        </w:rPr>
        <w:t>（街道办事处）</w:t>
      </w:r>
      <w:r>
        <w:rPr>
          <w:rFonts w:hint="eastAsia" w:ascii="宋体" w:hAnsi="宋体" w:eastAsia="宋体" w:cs="宋体"/>
          <w:color w:val="auto"/>
          <w:sz w:val="28"/>
          <w:szCs w:val="28"/>
          <w:lang w:val="en-US" w:eastAsia="zh-CN"/>
        </w:rPr>
        <w:t>之间建立的信息收集与共享渠道，获取突发环境事件信息。</w:t>
      </w:r>
    </w:p>
    <w:p w14:paraId="3261D8FF">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.1.2 信息研判与会商</w:t>
      </w:r>
    </w:p>
    <w:p w14:paraId="4E4DE2A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bookmarkStart w:id="53" w:name="_Toc186123038"/>
      <w:bookmarkStart w:id="54" w:name="_Toc186125026"/>
      <w:bookmarkStart w:id="55" w:name="_Toc186122733"/>
      <w:bookmarkStart w:id="56" w:name="_Toc186124191"/>
      <w:r>
        <w:rPr>
          <w:rFonts w:hint="eastAsia" w:ascii="宋体" w:hAnsi="宋体" w:eastAsia="宋体" w:cs="宋体"/>
          <w:color w:val="auto"/>
          <w:sz w:val="28"/>
          <w:szCs w:val="28"/>
          <w:lang w:val="en-US" w:eastAsia="zh-CN"/>
        </w:rPr>
        <w:t>通过群众举报、责任单位报告、相邻</w:t>
      </w:r>
      <w:r>
        <w:rPr>
          <w:rFonts w:hint="eastAsia" w:ascii="宋体" w:hAnsi="宋体" w:cs="宋体"/>
          <w:color w:val="auto"/>
          <w:sz w:val="28"/>
          <w:szCs w:val="28"/>
          <w:lang w:val="en-US" w:eastAsia="zh-CN"/>
        </w:rPr>
        <w:t>镇</w:t>
      </w:r>
      <w:r>
        <w:rPr>
          <w:rFonts w:hint="eastAsia" w:ascii="宋体" w:hAnsi="宋体" w:eastAsia="宋体" w:cs="宋体"/>
          <w:color w:val="auto"/>
          <w:sz w:val="28"/>
          <w:szCs w:val="28"/>
          <w:lang w:val="en-US" w:eastAsia="zh-CN"/>
        </w:rPr>
        <w:t>人民政府</w:t>
      </w:r>
      <w:r>
        <w:rPr>
          <w:rFonts w:hint="eastAsia" w:ascii="宋体" w:hAnsi="宋体" w:cs="宋体"/>
          <w:color w:val="auto"/>
          <w:sz w:val="28"/>
          <w:szCs w:val="28"/>
          <w:lang w:val="en-US" w:eastAsia="zh-CN"/>
        </w:rPr>
        <w:t>（街道办事处）</w:t>
      </w:r>
      <w:r>
        <w:rPr>
          <w:rFonts w:hint="eastAsia" w:ascii="宋体" w:hAnsi="宋体" w:eastAsia="宋体" w:cs="宋体"/>
          <w:color w:val="auto"/>
          <w:sz w:val="28"/>
          <w:szCs w:val="28"/>
          <w:lang w:val="en-US" w:eastAsia="zh-CN"/>
        </w:rPr>
        <w:t>通报等渠道获取突发事件信息后，第一时间开展信息研判和会商，第一时间核实信息真实性，必要时会同相关部门共同开展应急监测或补充调查，核实信息的准确性，收集更全面、更权威的资料信息。</w:t>
      </w:r>
      <w:bookmarkEnd w:id="53"/>
      <w:bookmarkEnd w:id="54"/>
      <w:bookmarkEnd w:id="55"/>
      <w:bookmarkEnd w:id="56"/>
    </w:p>
    <w:p w14:paraId="3224743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bookmarkStart w:id="57" w:name="_Toc186124192"/>
      <w:bookmarkStart w:id="58" w:name="_Toc186122734"/>
      <w:bookmarkStart w:id="59" w:name="_Toc186125027"/>
      <w:bookmarkStart w:id="60" w:name="_Toc186123039"/>
      <w:r>
        <w:rPr>
          <w:rFonts w:hint="eastAsia" w:ascii="宋体" w:hAnsi="宋体" w:eastAsia="宋体" w:cs="宋体"/>
          <w:color w:val="auto"/>
          <w:sz w:val="28"/>
          <w:szCs w:val="28"/>
          <w:lang w:val="en-US" w:eastAsia="zh-CN"/>
        </w:rPr>
        <w:t>初步研判发生重大、特别重大突发环境事件，由市政府牵头应对，区政府配合。初步研判发生一般、较大突发环境事件，由区政府负责应对。</w:t>
      </w:r>
      <w:bookmarkEnd w:id="57"/>
      <w:bookmarkEnd w:id="58"/>
      <w:bookmarkEnd w:id="59"/>
      <w:bookmarkEnd w:id="60"/>
    </w:p>
    <w:p w14:paraId="70D81831">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61" w:name="_Toc26651"/>
      <w:bookmarkStart w:id="62" w:name="_Toc5703"/>
      <w:r>
        <w:rPr>
          <w:rFonts w:hint="eastAsia" w:ascii="宋体" w:hAnsi="宋体" w:eastAsia="宋体" w:cs="宋体"/>
          <w:b/>
          <w:bCs/>
          <w:color w:val="000000"/>
          <w:sz w:val="28"/>
          <w:szCs w:val="28"/>
          <w:lang w:val="en-US" w:eastAsia="zh-CN"/>
        </w:rPr>
        <w:t>4.</w:t>
      </w:r>
      <w:r>
        <w:rPr>
          <w:rFonts w:hint="eastAsia" w:ascii="宋体" w:hAnsi="宋体" w:cs="宋体"/>
          <w:b/>
          <w:bCs/>
          <w:color w:val="000000"/>
          <w:sz w:val="28"/>
          <w:szCs w:val="28"/>
          <w:lang w:val="en-US" w:eastAsia="zh-CN"/>
        </w:rPr>
        <w:t>2</w:t>
      </w:r>
      <w:r>
        <w:rPr>
          <w:rFonts w:hint="eastAsia" w:ascii="宋体" w:hAnsi="宋体" w:eastAsia="宋体" w:cs="宋体"/>
          <w:b/>
          <w:bCs/>
          <w:color w:val="000000"/>
          <w:sz w:val="28"/>
          <w:szCs w:val="28"/>
          <w:lang w:val="en-US" w:eastAsia="zh-CN"/>
        </w:rPr>
        <w:t xml:space="preserve"> </w:t>
      </w:r>
      <w:bookmarkStart w:id="63" w:name="_Toc186122991"/>
      <w:bookmarkStart w:id="64" w:name="_Toc186124151"/>
      <w:bookmarkStart w:id="65" w:name="_Toc186124976"/>
      <w:r>
        <w:rPr>
          <w:rFonts w:hint="eastAsia" w:ascii="宋体" w:hAnsi="宋体" w:eastAsia="宋体" w:cs="宋体"/>
          <w:b/>
          <w:bCs/>
          <w:color w:val="000000"/>
          <w:sz w:val="28"/>
          <w:szCs w:val="28"/>
          <w:lang w:val="en-US" w:eastAsia="zh-CN"/>
        </w:rPr>
        <w:t>预警</w:t>
      </w:r>
      <w:bookmarkEnd w:id="61"/>
      <w:bookmarkEnd w:id="62"/>
      <w:bookmarkEnd w:id="63"/>
      <w:bookmarkEnd w:id="64"/>
      <w:bookmarkEnd w:id="65"/>
    </w:p>
    <w:p w14:paraId="3CD81B97">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预警分级</w:t>
      </w:r>
    </w:p>
    <w:p w14:paraId="36089B5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cs="宋体"/>
          <w:color w:val="auto"/>
          <w:sz w:val="28"/>
          <w:szCs w:val="28"/>
          <w:lang w:val="en-US" w:eastAsia="zh-CN"/>
        </w:rPr>
        <w:t>按照开州区的要求</w:t>
      </w:r>
      <w:r>
        <w:rPr>
          <w:rFonts w:hint="eastAsia" w:ascii="宋体" w:hAnsi="宋体" w:eastAsia="宋体" w:cs="宋体"/>
          <w:color w:val="auto"/>
          <w:sz w:val="28"/>
          <w:szCs w:val="28"/>
          <w:lang w:val="en-US" w:eastAsia="zh-CN"/>
        </w:rPr>
        <w:t>，水源地突发环境事件的预警级别由低到高分为橙色和红色两级。</w:t>
      </w:r>
    </w:p>
    <w:p w14:paraId="1E68C98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橙色预警：当污染物迁移至水源地应急预案适用范围，但水源地保护区或其上游连接水体尚未受到污染，</w:t>
      </w:r>
      <w:r>
        <w:rPr>
          <w:rFonts w:hint="eastAsia" w:cs="宋体"/>
          <w:color w:val="auto"/>
          <w:sz w:val="28"/>
          <w:szCs w:val="28"/>
          <w:lang w:val="en-US" w:eastAsia="zh-CN"/>
        </w:rPr>
        <w:t>或</w:t>
      </w:r>
      <w:r>
        <w:rPr>
          <w:rFonts w:hint="eastAsia" w:ascii="宋体" w:hAnsi="宋体" w:eastAsia="宋体" w:cs="宋体"/>
          <w:color w:val="auto"/>
          <w:sz w:val="28"/>
          <w:szCs w:val="28"/>
          <w:lang w:val="en-US" w:eastAsia="zh-CN"/>
        </w:rPr>
        <w:t>污染物已进入水源保护区上游连接水体，研判认为对水源地水质影响可能较小、可能不影响取水时，为橙色预警。</w:t>
      </w:r>
    </w:p>
    <w:p w14:paraId="5CE48FE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红色预警：当污染物已进入（或出现在）水源地保护区或其上游连接水体，研判认为对水源地水质影响可能较大时、可能影响取水时，为红色预警。</w:t>
      </w:r>
    </w:p>
    <w:p w14:paraId="18C43D7F">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上述分级标准中，生态环境部、市生态环境局、区生态环境局及有关部门有规定的，从其规定。对特殊的突发环境事件，可能演化为重大、特别重大事故的，不受分级标准限制。</w:t>
      </w:r>
    </w:p>
    <w:p w14:paraId="437AAB2D">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4.2.2 预警的启动条件</w:t>
      </w:r>
    </w:p>
    <w:p w14:paraId="0EAE8667">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2.1</w:t>
      </w:r>
      <w:r>
        <w:rPr>
          <w:rFonts w:hint="eastAsia" w:ascii="宋体" w:hAnsi="宋体" w:eastAsia="宋体" w:cs="宋体"/>
          <w:color w:val="auto"/>
          <w:sz w:val="28"/>
          <w:szCs w:val="28"/>
          <w:lang w:val="en-US" w:eastAsia="zh-CN"/>
        </w:rPr>
        <w:t xml:space="preserve"> 橙色预警启动条件</w:t>
      </w:r>
    </w:p>
    <w:p w14:paraId="7A3D99F7">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9"/>
        <w:rPr>
          <w:rFonts w:ascii="Times New Roman" w:hAnsi="Times New Roman" w:eastAsia="方正仿宋_GBK"/>
          <w:kern w:val="0"/>
          <w:sz w:val="32"/>
          <w:szCs w:val="32"/>
        </w:rPr>
      </w:pPr>
      <w:r>
        <w:rPr>
          <w:rFonts w:hint="eastAsia" w:ascii="宋体" w:hAnsi="宋体" w:eastAsia="宋体" w:cs="宋体"/>
          <w:color w:val="auto"/>
          <w:sz w:val="28"/>
          <w:szCs w:val="28"/>
          <w:lang w:val="en-US" w:eastAsia="zh-CN"/>
        </w:rPr>
        <w:t>接到上级指令或信息通报后，虽污染物未迁移至水源地应急预案适用范围，但污染物已进入水源保护区上游连接水体，经研判认为对水源地水质可能造成污染，不影响取水；通过信息报告发现，污染物已扩散至距水源保护区上游连接水体的直线距离不足1千米的陆域或水域；污染物已进入水源保护区上游连接水体，经研判认为对水源地水质影响可能较小、可能不影响取水。</w:t>
      </w:r>
    </w:p>
    <w:p w14:paraId="17CC76E3">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.2 红色预警启动条件</w:t>
      </w:r>
    </w:p>
    <w:p w14:paraId="47B2205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接到上级指令或信息通报后，</w:t>
      </w:r>
      <w:r>
        <w:rPr>
          <w:rFonts w:hint="eastAsia" w:cs="宋体"/>
          <w:color w:val="auto"/>
          <w:sz w:val="28"/>
          <w:szCs w:val="28"/>
          <w:lang w:val="en-US" w:eastAsia="zh-CN"/>
        </w:rPr>
        <w:t>虽然</w:t>
      </w:r>
      <w:r>
        <w:rPr>
          <w:rFonts w:hint="eastAsia" w:ascii="宋体" w:hAnsi="宋体" w:eastAsia="宋体" w:cs="宋体"/>
          <w:color w:val="auto"/>
          <w:sz w:val="28"/>
          <w:szCs w:val="28"/>
          <w:lang w:val="en-US" w:eastAsia="zh-CN"/>
        </w:rPr>
        <w:t>污染物未迁移至水源地应急预案适用的地域范围内，但污染物已进入水源保护区上游连接水体，研判认为对饮用水水源地水质有影响，可能影响取水；通过信息报告发现，在水源地一级、二级保护区内发生突发环境事件；通过信息报告发现，在二级保护区上游汇水区域4小时流程范围内发生固定源或流动源突发环境事件，或污染物已扩散至距水源保护区上游连接水体的直线距离不足100米的陆域或水域；通过信息报告发现，在二级保护区上游汇水区域8小时流程范围内发生固定源或流动源突发环境事件，或污染物已扩散至距水源保护区上游连接水体的直线距离不足200米的陆域或水域，经水质监测和信息研判，判断污染物迁移至取水口位置时，相应指标浓度仍会超标的；通过监测发现，水源保护区或其上游连接水体理化指标异常〔主要包括：在二级保护区内，出现自动站水质监测指标超标或生物综合毒性异常，经实验室监（复）测确认的；在二级保护区上游8小时流程范围内，出现水质监测指标、有毒有害物质或生物综合毒性异常，且污染物浓度持续升高的；在二级保护区上游4小时流程范围内，出现水质监测指标、有毒有害物质或生物综合毒性异常的〕；通过监测发现，水源保护区或其上游连接水体感官性状异常，即水体出现异常颜色或气味的；通过监测发现，水源保护区或其上游连接水体生态指标异常，即水面出现大面积死鱼或生物综合毒性异常并经实验室监测后确认的。</w:t>
      </w:r>
    </w:p>
    <w:p w14:paraId="187EC6BD">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4.2.3 发布预警和预警级别调整</w:t>
      </w:r>
    </w:p>
    <w:p w14:paraId="433C3D9C">
      <w:pPr>
        <w:pStyle w:val="6"/>
        <w:keepNext/>
        <w:keepLines/>
        <w:pageBreakBefore w:val="0"/>
        <w:widowControl w:val="0"/>
        <w:kinsoku/>
        <w:wordWrap/>
        <w:overflowPunct/>
        <w:topLinePunct w:val="0"/>
        <w:autoSpaceDE/>
        <w:autoSpaceDN/>
        <w:bidi w:val="0"/>
        <w:adjustRightInd/>
        <w:snapToGrid/>
        <w:spacing w:before="0" w:after="0" w:line="360" w:lineRule="auto"/>
        <w:ind w:firstLine="560" w:firstLineChars="200"/>
        <w:jc w:val="left"/>
        <w:textAlignment w:val="auto"/>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4</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lang w:val="en-US" w:eastAsia="zh-CN"/>
        </w:rPr>
        <w:t>2</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lang w:val="en-US" w:eastAsia="zh-CN"/>
        </w:rPr>
        <w:t>3.1</w:t>
      </w:r>
      <w:r>
        <w:rPr>
          <w:rFonts w:hint="eastAsia" w:asciiTheme="minorEastAsia" w:hAnsiTheme="minorEastAsia" w:eastAsiaTheme="minorEastAsia" w:cstheme="minorEastAsia"/>
          <w:b w:val="0"/>
          <w:bCs w:val="0"/>
          <w:sz w:val="28"/>
          <w:szCs w:val="28"/>
          <w:lang w:eastAsia="zh-CN"/>
        </w:rPr>
        <w:t xml:space="preserve"> 预警发布</w:t>
      </w:r>
    </w:p>
    <w:p w14:paraId="7E4D015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橙色预警和红色预警由区政府及其指定部门发布或上级人民政府及其指定部门发布。</w:t>
      </w:r>
    </w:p>
    <w:p w14:paraId="095BA20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预警发布内容应包括但不限于以下内容：类别、预警级别；事件起止时间、可能影响的范围；应采取的措施和发布机关。</w:t>
      </w:r>
    </w:p>
    <w:p w14:paraId="5290242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预警对象：根据不同的突发水环境事件类型，对组织实施预警行动和应急处置行动的部门和单位发布预警。</w:t>
      </w:r>
    </w:p>
    <w:p w14:paraId="3194EC09">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4.2.3.2 预警调整</w:t>
      </w:r>
    </w:p>
    <w:p w14:paraId="119AEEE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预警信息发布单位应当根据事态的发展情况和采取措施的效果，按照有关规定适时调整预警级别。证明不可能发生突发环境事件或危险已经解除的，预警信息发布单位应当及时宣布解除预警，并停止采取有关措施。</w:t>
      </w:r>
    </w:p>
    <w:p w14:paraId="12D950CD">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 xml:space="preserve"> 预警行动</w:t>
      </w:r>
    </w:p>
    <w:p w14:paraId="041F873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发布橙色预警时，预警行动包含但不限于以下内容：通报相关部门或单位及涉事企业突发环境事件信息，指导启动本部门或单位应急预案；各有关部门或单位按照各自职责开展应急监测或做好应急监测准备；启动备用水源调度准备，调集应急处置所需物资装备，做好应急处置的保障工作；按照职责，各有关部门或单位进入待命状态，必要时到达现场开展相关工作；及时准确发布事态最新情况，加强相关舆情监测，做好舆论引导工作等。</w:t>
      </w:r>
    </w:p>
    <w:p w14:paraId="69F6831C">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发布红色预警时，预警行动包含但不限于以下内容：下达启动饮用水水源地应急预案的命令；通知有关单位和人员做好应急准备，进入待命状态，必要时到达现场开展相关工作；通知饮用水水源地供水单位进入待命状态，做好停止取水、深度处理、低压供水或启动备用水源等准备；加强信息监控，核实突发环境事件污染来源、进入水体的污染物种类和总量、污染扩散范围等信息；开展应急监测或做好应急监测准备；做好事件信息上报和通报；调集所需应急物资和设备，做好应急保障；在危险区域设置提示或警告标志；必要时，及时通过媒体向公众发布信息；加强舆情监测、引导和应对工作等。</w:t>
      </w:r>
    </w:p>
    <w:p w14:paraId="37E2DCE0">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.2.5</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预警解除</w:t>
      </w:r>
    </w:p>
    <w:p w14:paraId="2F1D19E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bookmarkStart w:id="66" w:name="_Toc186125029"/>
      <w:bookmarkStart w:id="67" w:name="_Toc186123041"/>
      <w:bookmarkStart w:id="68" w:name="_Toc186124194"/>
      <w:bookmarkStart w:id="69" w:name="_Toc186122736"/>
      <w:r>
        <w:rPr>
          <w:rFonts w:hint="eastAsia" w:ascii="宋体" w:hAnsi="宋体" w:eastAsia="宋体" w:cs="宋体"/>
          <w:color w:val="auto"/>
          <w:sz w:val="28"/>
          <w:szCs w:val="28"/>
          <w:lang w:val="en-US" w:eastAsia="zh-CN"/>
        </w:rPr>
        <w:t>当引起预警的条件消除和各类隐患排除后，饮用水水源地水质及供水不会受到影响时，由发布预警的单位下达预警解除指令，终止已经采取的有关行动和措施。</w:t>
      </w:r>
      <w:bookmarkEnd w:id="66"/>
      <w:bookmarkEnd w:id="67"/>
      <w:bookmarkEnd w:id="68"/>
      <w:bookmarkEnd w:id="69"/>
    </w:p>
    <w:p w14:paraId="7DE44AF0">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70" w:name="_Toc186124977"/>
      <w:bookmarkStart w:id="71" w:name="_Toc186124152"/>
      <w:bookmarkStart w:id="72" w:name="_Toc186122992"/>
      <w:bookmarkStart w:id="73" w:name="_Toc25155"/>
      <w:bookmarkStart w:id="74" w:name="_Toc7209"/>
      <w:r>
        <w:rPr>
          <w:rFonts w:hint="eastAsia" w:ascii="宋体" w:hAnsi="宋体" w:eastAsia="宋体" w:cs="宋体"/>
          <w:b/>
          <w:bCs/>
          <w:color w:val="000000"/>
          <w:sz w:val="28"/>
          <w:szCs w:val="28"/>
          <w:lang w:val="en-US" w:eastAsia="zh-CN"/>
        </w:rPr>
        <w:t>4.</w:t>
      </w:r>
      <w:r>
        <w:rPr>
          <w:rFonts w:hint="eastAsia" w:ascii="宋体" w:hAnsi="宋体" w:cs="宋体"/>
          <w:b/>
          <w:bCs/>
          <w:color w:val="000000"/>
          <w:sz w:val="28"/>
          <w:szCs w:val="28"/>
          <w:lang w:val="en-US" w:eastAsia="zh-CN"/>
        </w:rPr>
        <w:t>3</w:t>
      </w:r>
      <w:r>
        <w:rPr>
          <w:rFonts w:hint="eastAsia" w:ascii="宋体" w:hAnsi="宋体" w:eastAsia="宋体" w:cs="宋体"/>
          <w:b/>
          <w:bCs/>
          <w:color w:val="000000"/>
          <w:sz w:val="28"/>
          <w:szCs w:val="28"/>
          <w:lang w:val="en-US" w:eastAsia="zh-CN"/>
        </w:rPr>
        <w:t xml:space="preserve"> </w:t>
      </w:r>
      <w:bookmarkEnd w:id="70"/>
      <w:bookmarkEnd w:id="71"/>
      <w:bookmarkEnd w:id="72"/>
      <w:r>
        <w:rPr>
          <w:rFonts w:hint="eastAsia" w:ascii="宋体" w:hAnsi="宋体" w:eastAsia="宋体" w:cs="宋体"/>
          <w:b/>
          <w:bCs/>
          <w:color w:val="000000"/>
          <w:sz w:val="28"/>
          <w:szCs w:val="28"/>
          <w:lang w:val="en-US" w:eastAsia="zh-CN"/>
        </w:rPr>
        <w:t>信息报告与通报</w:t>
      </w:r>
      <w:bookmarkEnd w:id="73"/>
      <w:bookmarkEnd w:id="74"/>
    </w:p>
    <w:p w14:paraId="4F3136C2">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4.3.1 信息报告与通报原则及对象</w:t>
      </w:r>
    </w:p>
    <w:p w14:paraId="310D896A">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突发环境事件发生后，涉事企业、生产经营者应当立即向区生态环境局（023-52226422）或区政府（023-52012345）报告事态发展情况和先期处置情况。</w:t>
      </w:r>
    </w:p>
    <w:p w14:paraId="670DEDB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cs="宋体"/>
          <w:color w:val="auto"/>
          <w:sz w:val="28"/>
          <w:szCs w:val="28"/>
          <w:lang w:val="en-US" w:eastAsia="zh-CN"/>
        </w:rPr>
        <w:t>河堰镇</w:t>
      </w:r>
      <w:r>
        <w:rPr>
          <w:rFonts w:hint="eastAsia" w:ascii="宋体" w:hAnsi="宋体" w:eastAsia="宋体" w:cs="宋体"/>
          <w:color w:val="auto"/>
          <w:sz w:val="28"/>
          <w:szCs w:val="28"/>
          <w:lang w:val="en-US" w:eastAsia="zh-CN"/>
        </w:rPr>
        <w:t>人民政府在发现或得知水源地突发环境事件信息后，应立即进行核实，了解有关情况。核实后，第一时间向区指挥部办公室等有关部门或单位报告。经核实的水源地突发环境事件，向突发环境事件相关部门或单位进行信息通报。</w:t>
      </w:r>
      <w:r>
        <w:rPr>
          <w:rFonts w:hint="eastAsia" w:cs="宋体"/>
          <w:color w:val="auto"/>
          <w:sz w:val="28"/>
          <w:szCs w:val="28"/>
          <w:lang w:val="en-US" w:eastAsia="zh-CN"/>
        </w:rPr>
        <w:t>河堰镇</w:t>
      </w:r>
      <w:r>
        <w:rPr>
          <w:rFonts w:hint="eastAsia" w:ascii="宋体" w:hAnsi="宋体" w:eastAsia="宋体" w:cs="宋体"/>
          <w:color w:val="auto"/>
          <w:sz w:val="28"/>
          <w:szCs w:val="28"/>
          <w:lang w:val="en-US" w:eastAsia="zh-CN"/>
        </w:rPr>
        <w:t>人民政府有关部门和单位要采取一切措施尽快掌握情况，30分钟内进行电话报告、1小时内进行书面报告。</w:t>
      </w:r>
    </w:p>
    <w:p w14:paraId="7771E9C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发生突发环境事件后，</w:t>
      </w:r>
      <w:r>
        <w:rPr>
          <w:rFonts w:hint="eastAsia" w:cs="宋体"/>
          <w:color w:val="auto"/>
          <w:sz w:val="28"/>
          <w:szCs w:val="28"/>
          <w:lang w:val="en-US" w:eastAsia="zh-CN"/>
        </w:rPr>
        <w:t>河堰镇人民政府</w:t>
      </w:r>
      <w:r>
        <w:rPr>
          <w:rFonts w:hint="eastAsia" w:ascii="宋体" w:hAnsi="宋体" w:eastAsia="宋体" w:cs="宋体"/>
          <w:color w:val="auto"/>
          <w:sz w:val="28"/>
          <w:szCs w:val="28"/>
          <w:lang w:val="en-US" w:eastAsia="zh-CN"/>
        </w:rPr>
        <w:t>要及时向区生态环境局</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区政府有关部门通报。因生产安全事故、交通事故、自然灾害等引发突发环境事件的，及时向区应急管理、公安、交通</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生态环境局等有关部门通报。</w:t>
      </w:r>
    </w:p>
    <w:p w14:paraId="17001AF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突发环境事件已经或可能涉及相邻行政区域的，应当及时通报相邻行政区域政府。接到相邻行政区域通报的政府应当及时调查了解情况，并按照相关规定报告突发环境事件信息。</w:t>
      </w:r>
    </w:p>
    <w:p w14:paraId="47A4FE09">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4.3.2 信息报告与通报程序及内容</w:t>
      </w:r>
    </w:p>
    <w:p w14:paraId="7DBE2A3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初报。报告内容主要包括水源地突发环境事件的发生时间、地点、信息来源、事件起因和性质、基本过程、主要污染物和数量、监测结果、人员伤亡情况、水源地受影响情况、事件发展趋势、处置情况、拟采取的措施以及下一步工作建议等初步情况。</w:t>
      </w:r>
    </w:p>
    <w:p w14:paraId="71639B4A">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续报。在初报的基础上，报告事件及有关处置措施的进展情况。</w:t>
      </w:r>
    </w:p>
    <w:p w14:paraId="128052F1">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终报。在初报、续报的基础上，报告突发环境事件的处置措施、过程和结果等详细情况。</w:t>
      </w:r>
    </w:p>
    <w:p w14:paraId="37AAEE2F">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75" w:name="_Toc20869"/>
      <w:bookmarkStart w:id="76" w:name="_Toc3988"/>
      <w:r>
        <w:rPr>
          <w:rFonts w:hint="eastAsia" w:ascii="宋体" w:hAnsi="宋体" w:eastAsia="宋体" w:cs="宋体"/>
          <w:b/>
          <w:bCs/>
          <w:color w:val="000000"/>
          <w:sz w:val="28"/>
          <w:szCs w:val="28"/>
          <w:lang w:val="en-US" w:eastAsia="zh-CN"/>
        </w:rPr>
        <w:t>4.4 事态跟踪研判</w:t>
      </w:r>
      <w:bookmarkEnd w:id="75"/>
      <w:bookmarkEnd w:id="76"/>
    </w:p>
    <w:p w14:paraId="378B222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由现场应急指挥部组织开展事态跟踪研判。事态跟踪研判包括但不限于以下内容：事故点下游沿河水利设施工程情况、判断污染物进入河流或水库的数量及种类性质、事故点下游水系分布（包括清洁水情况）、距离水源地取水口的距离和可能对水源地造成的危害，以及备用水源地情况。根据事态跟踪研判的结果，制定和动态调整应急响应有关方案、实施应急监测、污染源排查与处置和应急处置方法。</w:t>
      </w:r>
    </w:p>
    <w:p w14:paraId="4947EA00">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77" w:name="_Toc30423"/>
      <w:bookmarkStart w:id="78" w:name="_Toc16945"/>
      <w:r>
        <w:rPr>
          <w:rFonts w:hint="eastAsia" w:ascii="宋体" w:hAnsi="宋体" w:cs="宋体"/>
          <w:b/>
          <w:bCs/>
          <w:color w:val="000000"/>
          <w:sz w:val="28"/>
          <w:szCs w:val="28"/>
          <w:lang w:val="en-US" w:eastAsia="zh-CN"/>
        </w:rPr>
        <w:t>4</w:t>
      </w:r>
      <w:r>
        <w:rPr>
          <w:rFonts w:hint="eastAsia" w:ascii="宋体" w:hAnsi="宋体" w:eastAsia="宋体" w:cs="宋体"/>
          <w:b/>
          <w:bCs/>
          <w:color w:val="000000"/>
          <w:sz w:val="28"/>
          <w:szCs w:val="28"/>
          <w:lang w:val="en-US" w:eastAsia="zh-CN"/>
        </w:rPr>
        <w:t>.5 应急监测</w:t>
      </w:r>
      <w:bookmarkEnd w:id="77"/>
      <w:bookmarkEnd w:id="78"/>
    </w:p>
    <w:p w14:paraId="379572DC">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4.5.1 开展应急监测程序</w:t>
      </w:r>
    </w:p>
    <w:p w14:paraId="0CFAD8D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事件处置初期，各有关部门或单位应按照各自职责，根据现场实际情况制定监测方案、设置监测点位（断面）、确定监测频次、组织开展监测、形成监测报告，第一时间向现场应急指挥部报告监测结果和污染浓度变化态势图，并安排人员对突发环境事件监测情况进行全过程记录。</w:t>
      </w:r>
    </w:p>
    <w:p w14:paraId="4C19C8C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事件处置中期，应根据事态发展，如上游来水量、应急处置措施效果等情况，适时调整监测点位（断面）和监测频次。</w:t>
      </w:r>
    </w:p>
    <w:p w14:paraId="4CFE2CA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事件处置末期，应按照现场应急指挥部命令，开展跟踪监测，并向现场应急指挥部提交应急监测总结报告。</w:t>
      </w:r>
    </w:p>
    <w:p w14:paraId="1372BF82">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4.5.2 制定应急监测方案</w:t>
      </w:r>
    </w:p>
    <w:p w14:paraId="1F4AFB7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根据突发事件性质，征询应急专家组意见，编制应急监测方案，内容应包括依据的技术规范、实施人员、布点原则、采样频次和注意事项、监测结果记录和报告方式等。</w:t>
      </w:r>
    </w:p>
    <w:p w14:paraId="7AC5B23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应急监测重点是抓住污染带前峰、峰值位置和浓度变化，对污染带移动过程形成动态监控。当污染来源不明时，应先通过应</w:t>
      </w:r>
    </w:p>
    <w:p w14:paraId="0F9349E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急监测确定特征污染物成分，再进行污染源排查和先期处置。监测范围、布点、频次及监测因子按如下原则进行布置：</w:t>
      </w:r>
    </w:p>
    <w:p w14:paraId="66B613E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（1）监测范围</w:t>
      </w:r>
    </w:p>
    <w:p w14:paraId="02ECB9A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应尽量涵盖水源地突发环境事件的污染范围，并包括事件可能影响区域和污染物本底浓度的监测区域。</w:t>
      </w:r>
    </w:p>
    <w:p w14:paraId="2C9F9A6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（2）监测布点和频次</w:t>
      </w:r>
    </w:p>
    <w:p w14:paraId="16211D5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以突发环境事件发生地点为中心或源头，结合水文和气象条件，在其扩散方向及可能受到影响的水源地位置合理布点，必要时在事故影响区域内水源取水口、农灌区取水口处设置监测点位（断面）。应采取不同点位（断面）相同间隔时间（一般为1小时）同步采样监测方式，动态监控污染带移动过程。</w:t>
      </w:r>
    </w:p>
    <w:p w14:paraId="51D492F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①针对固定源突发环境事件，应对固定源排放口附近水域、下游水源地附近水域进行加密跟踪监测。</w:t>
      </w:r>
    </w:p>
    <w:p w14:paraId="1C4E64F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②针对流动源、非点源突发环境事件，应对事发区域下游水域、下游水源地附近进行加密跟踪监测。</w:t>
      </w:r>
    </w:p>
    <w:p w14:paraId="2D96795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③水华灾害突发事件若发生在一级、二级保护区范围，应对取水口不同水层进行加密跟踪监测。</w:t>
      </w:r>
    </w:p>
    <w:p w14:paraId="3563752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应急监测通常采集瞬时样品，采样量根据分析项目及分析方法确定，采样量还应满足留样要求。污染发生后，应首先采集污染源样品，注意采样的代表性。采样频次主要根据现场污染状况确定。事故刚发生时，采样频次可适当增加，待摸清污染物变化规律后，可减少采样频次。依据不同的环境区域功能和事故发生地的污染实际情况，力求以最低的采样频次，取得最有代表性的样品，既满足反映环境污染程度、范围的要求，又切实可行。</w:t>
      </w:r>
    </w:p>
    <w:p w14:paraId="21E724F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（3）现场采样</w:t>
      </w:r>
    </w:p>
    <w:p w14:paraId="7108087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①根据我区实际，配置常用的现场应急监测仪器设备，如检测试纸、快速检测管和便携式检测仪设备。需要时，配置便携式气相色谱仪、便携式红外光谱仪、便携式气相色谱/质谱分析仪等应急监测仪器。</w:t>
      </w:r>
    </w:p>
    <w:p w14:paraId="1647EF1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②凡具备现场测定条件的监测项目，应尽量进行现场测定，必要时，另采集一份样品送实验室分析测定，以确认现场的定性或定量分析结果。用检测试纸、快速检测管和便携式仪器进行测定时，应至少连续平行测定两侧，以确认现场测定结果。采样频次应考虑污染程度和现场水文条件，按照应急专家组的意见确定。</w:t>
      </w:r>
    </w:p>
    <w:p w14:paraId="1901439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（4）监测项目。监测因子包括pH值、化学需氧量、氨氮、总磷、总氮等。可根据突发环境事件特征，删减或补充相关监测因子。</w:t>
      </w:r>
    </w:p>
    <w:p w14:paraId="0B2F1F7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（5）监测结果与数据报告。应按照有关监测技术规范进行数据处理。监测结果可用定性、半定量或定量方式报出。监测结果可采用电话、传真、快报、简报、监测报告等形式第一时间报告现场应急指挥部。</w:t>
      </w:r>
    </w:p>
    <w:p w14:paraId="0FE37EA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ascii="Times New Roman" w:hAnsi="Times New Roman" w:eastAsia="方正仿宋_GBK"/>
        </w:rPr>
      </w:pPr>
      <w:r>
        <w:rPr>
          <w:rFonts w:hint="eastAsia" w:ascii="宋体" w:hAnsi="宋体" w:eastAsia="宋体" w:cs="宋体"/>
          <w:color w:val="auto"/>
          <w:sz w:val="28"/>
          <w:szCs w:val="28"/>
          <w:lang w:val="en-US" w:eastAsia="zh-CN"/>
        </w:rPr>
        <w:t>（6）监测数据的质量保证。应急监测过程中的样品采集、现场监测、实验室监测、数据统计等环节，都应有质量控制措施，并对应急监测报告实行三级审核。</w:t>
      </w:r>
    </w:p>
    <w:p w14:paraId="587F4E0C">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79" w:name="_Toc4315"/>
      <w:bookmarkStart w:id="80" w:name="_Toc186125031"/>
      <w:bookmarkStart w:id="81" w:name="_Toc186122738"/>
      <w:bookmarkStart w:id="82" w:name="_Toc186123043"/>
      <w:bookmarkStart w:id="83" w:name="_Toc10083"/>
      <w:bookmarkStart w:id="84" w:name="_Toc186124196"/>
      <w:r>
        <w:rPr>
          <w:rFonts w:hint="eastAsia" w:ascii="宋体" w:hAnsi="宋体" w:eastAsia="宋体" w:cs="宋体"/>
          <w:b/>
          <w:bCs/>
          <w:color w:val="000000"/>
          <w:sz w:val="28"/>
          <w:szCs w:val="28"/>
          <w:lang w:val="en-US" w:eastAsia="zh-CN"/>
        </w:rPr>
        <w:t>4.6 事故源排查与处置</w:t>
      </w:r>
      <w:bookmarkEnd w:id="79"/>
      <w:bookmarkEnd w:id="80"/>
      <w:bookmarkEnd w:id="81"/>
      <w:bookmarkEnd w:id="82"/>
      <w:bookmarkEnd w:id="83"/>
      <w:bookmarkEnd w:id="84"/>
    </w:p>
    <w:p w14:paraId="44F090B8">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4.6.1 排查对象</w:t>
      </w:r>
    </w:p>
    <w:p w14:paraId="18248F5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当水质监测发现异常、污染物来源不确定时，由综合协调组负责开展溯源分析。综合协调组根据应急监测确定特征污染物成分，再结合特征污染物浓度变化、释放总量、释放路径、释放时间，以及当时的水文和气象条件，迅速组织开展事故源排查。针对不同类型污染物的排查重点和对象如下。</w:t>
      </w:r>
    </w:p>
    <w:p w14:paraId="1A36113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（1）有机类、营养盐类污染：重点排查城镇生活污水处理厂、工业企业等的异常情况。</w:t>
      </w:r>
    </w:p>
    <w:p w14:paraId="4EA2BF3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营养盐类污染：重点排查城镇生活污水处理厂、工业企业、畜禽养殖场（户）、农田种植户、农村居民点、医疗场所等，调查污水处理设施运行、养殖废物处理处置、农药化肥施用、农村生活污染、医疗废水处理及消毒设施的异常情况。</w:t>
      </w:r>
    </w:p>
    <w:p w14:paraId="58A1329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（3）细菌类污染：重点排查调查污水处理设施运行、医疗场所等的异常情况。</w:t>
      </w:r>
    </w:p>
    <w:p w14:paraId="7EAD0F1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（4）农药类污染：重点排查农药制造有关的工业企业、果园种植园（户）、农田种植户、农灌退水排放口，调查农药施用和流失的异常情况。</w:t>
      </w:r>
    </w:p>
    <w:p w14:paraId="11979D1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（5）石油类污染：重点排查加油站、运输车辆、运输船舶、油气管线，调查上述企业和单位的异常情况。</w:t>
      </w:r>
    </w:p>
    <w:p w14:paraId="3AB75EA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重金属及其他有毒有害物质污染：重点排查采矿及选矿的工业企业（含化工园区）、尾矿库、危险废物储存单位、危险品仓库和装卸码头、危化品运输船舶、危化品运输车辆等，调查上述企业和单位的异常情况。</w:t>
      </w:r>
    </w:p>
    <w:p w14:paraId="38E223E3">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4.6.2 切断污染源</w:t>
      </w:r>
    </w:p>
    <w:p w14:paraId="0AB8550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涉事企事业单位或其他生产经营者应第一时间启动应急预案，切断固定的、流动的或非点源的污染源或泄漏源，若涉事企事业单位或其他生产经营者无法有效控制污染源，应将污染源信息上报应急处置组，由应急处置组组织实施事故源切断或控制。处置措施主要采取切断污染源、收集和围堵污染物等，包括但不限于以下内容。</w:t>
      </w:r>
    </w:p>
    <w:p w14:paraId="6C12A141">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（1）对发生非正常排放或有毒有害物质泄漏的固定源突发环境事件，应尽快采取关闭、封堵、收集、转移等措施，切断污染源或泄漏源。</w:t>
      </w:r>
    </w:p>
    <w:p w14:paraId="363FCD5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（2）对道路交通运输过程中发生的流动源突发事件，可启动路面系统的导流槽、应急池或紧急设置围堰、闸坝等，对污染源进行围堵并收集污染物。</w:t>
      </w:r>
    </w:p>
    <w:p w14:paraId="0D3856D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（3）对水上船舶运输过程中发生的流动源突发事件，主要采取救援打捞、油毡吸附、围油栏等方式，对污染源进行围堵并收集污染物。</w:t>
      </w:r>
    </w:p>
    <w:p w14:paraId="0EE82A3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（4）启动应急收集系统集中收集陆域污染物，设立拦截设施，防止污染物在陆域蔓延，组织有关部门对污染物进行回收处置。</w:t>
      </w:r>
    </w:p>
    <w:p w14:paraId="51FBE52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（5）根据现场事态发展对扩散至水体的污染物进行处置。</w:t>
      </w:r>
    </w:p>
    <w:p w14:paraId="7C0469B5">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85" w:name="_Toc186125032"/>
      <w:bookmarkStart w:id="86" w:name="_Toc28365"/>
      <w:bookmarkStart w:id="87" w:name="_Toc186122739"/>
      <w:bookmarkStart w:id="88" w:name="_Toc6985"/>
      <w:bookmarkStart w:id="89" w:name="_Toc186124197"/>
      <w:bookmarkStart w:id="90" w:name="_Toc8744"/>
      <w:bookmarkStart w:id="91" w:name="_Toc186123044"/>
      <w:r>
        <w:rPr>
          <w:rFonts w:hint="eastAsia" w:ascii="宋体" w:hAnsi="宋体" w:cs="宋体"/>
          <w:b/>
          <w:bCs/>
          <w:color w:val="000000"/>
          <w:sz w:val="28"/>
          <w:szCs w:val="28"/>
          <w:lang w:val="en-US" w:eastAsia="zh-CN"/>
        </w:rPr>
        <w:t>4</w:t>
      </w:r>
      <w:r>
        <w:rPr>
          <w:rFonts w:hint="eastAsia" w:ascii="宋体" w:hAnsi="宋体" w:eastAsia="宋体" w:cs="宋体"/>
          <w:b/>
          <w:bCs/>
          <w:color w:val="000000"/>
          <w:sz w:val="28"/>
          <w:szCs w:val="28"/>
          <w:lang w:val="en-US" w:eastAsia="zh-CN"/>
        </w:rPr>
        <w:t>.7 应急处置</w:t>
      </w:r>
      <w:bookmarkEnd w:id="85"/>
      <w:bookmarkEnd w:id="86"/>
      <w:bookmarkEnd w:id="87"/>
      <w:bookmarkEnd w:id="88"/>
      <w:bookmarkEnd w:id="89"/>
      <w:bookmarkEnd w:id="90"/>
      <w:bookmarkEnd w:id="91"/>
    </w:p>
    <w:p w14:paraId="02BD70EE">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4.7.1 制定现场处置方案</w:t>
      </w:r>
    </w:p>
    <w:p w14:paraId="6DB11F11">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现场应急指挥部应根据污染特征，结合专家组意见，尽快制定现场处置方案。现场处置方案包括但不限于以下内容：应急监测、污染处置措施、物资调集、应急队伍和人员安排、供水单位应对等。采取拦截、导流、疏浚等形式防止水体污染扩大；采取隔离、吸附、打捞、氧化还原、中和、去污洗消、临时收贮、转移异地处置、临时改造污染处置工艺或临时建设污染处置工程等方法处置污染物。必要时，要求其他排污单位停产、限产、限排，减轻环境污染负荷。水源地突发环境事故典型情景及应对处置措施如下。</w:t>
      </w:r>
    </w:p>
    <w:p w14:paraId="4604E35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（1）水华灾害突发事件。</w:t>
      </w:r>
    </w:p>
    <w:p w14:paraId="567CCFD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依据HJ1098水华程度分级标准及相关技术规范，对一级、二级水源保护区发生轻度水华的区域，定期、不定期组织重点水域岸线巡查及湖面观测；在重点水域组织增氧曝气作业，在满足防汛等安全的条件下，加大重点水域水体置换流量，改善水动力条件；加大重点水域藻类拦截、藻水打捞、藻水处理等作业量。对一级、二级水源保护区发生中度水华的区域，驻守重点水域，组织岸线巡查，直至水华消退；加大重点水域增氧曝气作业量；在满足防汛等安全的条件下，持续加大重点水域水体置换流量，改善水动力条件；在驻守处理的基础上，增配人员、物资、设施设备等机动力量，持续加大重点水域藻类拦截、藻水打捞、藻水处理等的作业量；加强湖面观测，及时组织藻类围捕作业。对一级、二级水源保护区的发生重度水华区域，驻守重点水域，加大组织岸线巡查力度，直至水华消退；集中调配人员、物资、设施设备等机动力量，依据水库水域功能分区及敏感程度，以防范藻类水华大面积、高密度堆积，发白发臭为目标，渐次保障重点水域；重点水域持续加大增氧曝气作业量；在满足防汛等安全的条件下，持续加大重点水域水体置换流量，改善水动力条件；藻水打捞、藻水处理等设施设备，保持满负荷运行，驻守湖面观测，持续组织藻类围捕作业。</w:t>
      </w:r>
    </w:p>
    <w:p w14:paraId="5C2F7F3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（2）油类污染事件</w:t>
      </w:r>
    </w:p>
    <w:p w14:paraId="02547A5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当油污呈连续带状分布时，在取水口铺设拦油隔离设施，驱离油污，并实时观察反应池和沉淀池池面情况；当出现大量油污，整个水源地油污呈面状分布时，在取水口围油设施内铺设吸油毡，油污进入沉淀池时增加吸油毡铺设，以不进入集水槽为原则；若含油污水进入反应池后半部，一泵停止取水，在取水口水面铺设围油栏，水厂投加粉末活性炭，投率为15公斤/千吨</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20公斤/千吨。</w:t>
      </w:r>
    </w:p>
    <w:p w14:paraId="3FC173E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（3）水体内污染物治理、总量或浓度削减</w:t>
      </w:r>
    </w:p>
    <w:p w14:paraId="6258CD0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应急专家组等意见，制定综合处置方案，经现场应急指挥部确认后实施。一般采取隔离、吸附、打捞、扰动等物理方法，氧化、沉淀等化学方法，利用湿地生物群消解等生物方法和上游调水等稀释方法，可以采取一种或多种方式，力争短时间内削减污染物浓度。</w:t>
      </w:r>
    </w:p>
    <w:p w14:paraId="58A5ABC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应急工程设施拦截污染水体。结合涉饮用水水源地河流的“一河一图一策”应急响应方案，充分利用流域环境应急设施和空间，在河道内启用或修建拦截坝、节制闸等工程设施拦截污染水体；通过导流渠将未受污染水体导流至污染水体下游，通过分流沟将污染水体分流至水源保护区外进行收集处置；利用前置库、缓冲池等工程设施，降低污染水体的污染物浓度，为应急处置争取时间。</w:t>
      </w:r>
    </w:p>
    <w:p w14:paraId="19BA286E">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cs="宋体"/>
          <w:color w:val="auto"/>
          <w:sz w:val="28"/>
          <w:szCs w:val="28"/>
          <w:lang w:val="en-US" w:eastAsia="zh-CN"/>
        </w:rPr>
        <w:t>（5）</w:t>
      </w:r>
      <w:r>
        <w:rPr>
          <w:rFonts w:hint="eastAsia" w:ascii="宋体" w:hAnsi="宋体" w:eastAsia="宋体" w:cs="宋体"/>
          <w:color w:val="auto"/>
          <w:sz w:val="28"/>
          <w:szCs w:val="28"/>
          <w:lang w:val="en-US" w:eastAsia="zh-CN"/>
        </w:rPr>
        <w:t>事故废水处置措施</w:t>
      </w:r>
    </w:p>
    <w:p w14:paraId="2CB7BB7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1）设置拦截措施，避免事故废水流入河流，如以下河，铺设围油栏等拦截物品在河流上，对泄漏物质进行拦截，并向上报告。</w:t>
      </w:r>
    </w:p>
    <w:p w14:paraId="2F22598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2）设置导流设施将事故废水引流，避免污染范围扩大。</w:t>
      </w:r>
    </w:p>
    <w:p w14:paraId="093ADB2C">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3）对拦截的事故废水，用潜油泵进行收集。</w:t>
      </w:r>
    </w:p>
    <w:p w14:paraId="6B6A082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4）对收集的废水进行处置，处置达标后排放。如不能处置应委托有资质的单位进行处置。</w:t>
      </w:r>
    </w:p>
    <w:p w14:paraId="0456DDA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w:t>
      </w:r>
      <w:r>
        <w:rPr>
          <w:rFonts w:hint="eastAsia" w:cs="宋体"/>
          <w:color w:val="auto"/>
          <w:sz w:val="28"/>
          <w:szCs w:val="28"/>
          <w:lang w:val="en-US" w:eastAsia="zh-CN"/>
        </w:rPr>
        <w:t>6</w:t>
      </w:r>
      <w:r>
        <w:rPr>
          <w:rFonts w:hint="eastAsia" w:ascii="宋体" w:hAnsi="宋体" w:eastAsia="宋体" w:cs="宋体"/>
          <w:color w:val="auto"/>
          <w:sz w:val="28"/>
          <w:szCs w:val="28"/>
          <w:lang w:val="en-US" w:eastAsia="zh-CN"/>
        </w:rPr>
        <w:t>）饮用水水源深度处置。在水质受污染程度不严重的情</w:t>
      </w:r>
      <w:r>
        <w:rPr>
          <w:rFonts w:hint="eastAsia" w:cs="宋体"/>
          <w:color w:val="auto"/>
          <w:sz w:val="28"/>
          <w:szCs w:val="28"/>
          <w:lang w:val="en-US" w:eastAsia="zh-CN"/>
        </w:rPr>
        <w:t>况下</w:t>
      </w:r>
      <w:r>
        <w:rPr>
          <w:rFonts w:hint="eastAsia" w:ascii="宋体" w:hAnsi="宋体" w:eastAsia="宋体" w:cs="宋体"/>
          <w:color w:val="auto"/>
          <w:sz w:val="28"/>
          <w:szCs w:val="28"/>
          <w:lang w:val="en-US" w:eastAsia="zh-CN"/>
        </w:rPr>
        <w:t>，采用深度处理工艺（如臭氧-活性炭技术、生物活性炭技术、膜分离技术等）对来水进行处理，确保水厂出水水质达标。</w:t>
      </w:r>
    </w:p>
    <w:p w14:paraId="4BE9E76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针对污染物可采取的物理、化学、生物处理技术如表</w:t>
      </w:r>
      <w:r>
        <w:rPr>
          <w:rFonts w:hint="eastAsia" w:cs="宋体"/>
          <w:color w:val="auto"/>
          <w:sz w:val="28"/>
          <w:szCs w:val="28"/>
          <w:lang w:val="en-US" w:eastAsia="zh-CN"/>
        </w:rPr>
        <w:t>4.1</w:t>
      </w:r>
      <w:r>
        <w:rPr>
          <w:rFonts w:hint="eastAsia" w:ascii="宋体" w:hAnsi="宋体" w:eastAsia="宋体" w:cs="宋体"/>
          <w:color w:val="auto"/>
          <w:sz w:val="28"/>
          <w:szCs w:val="28"/>
          <w:lang w:val="en-US" w:eastAsia="zh-CN"/>
        </w:rPr>
        <w:t>-1所示。</w:t>
      </w:r>
    </w:p>
    <w:p w14:paraId="19A28811">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482" w:firstLineChars="200"/>
        <w:jc w:val="center"/>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表</w:t>
      </w:r>
      <w:r>
        <w:rPr>
          <w:rFonts w:hint="eastAsia" w:cs="宋体"/>
          <w:b/>
          <w:bCs/>
          <w:color w:val="auto"/>
          <w:sz w:val="24"/>
          <w:szCs w:val="24"/>
          <w:lang w:val="en-US" w:eastAsia="zh-CN"/>
        </w:rPr>
        <w:t xml:space="preserve"> </w:t>
      </w:r>
      <w:r>
        <w:rPr>
          <w:rFonts w:hint="eastAsia" w:ascii="宋体" w:hAnsi="宋体" w:eastAsia="宋体" w:cs="宋体"/>
          <w:b/>
          <w:bCs/>
          <w:color w:val="auto"/>
          <w:sz w:val="24"/>
          <w:szCs w:val="24"/>
          <w:lang w:val="en-US" w:eastAsia="zh-CN"/>
        </w:rPr>
        <w:t>4.1-1</w:t>
      </w:r>
      <w:r>
        <w:rPr>
          <w:rFonts w:hint="eastAsia" w:cs="宋体"/>
          <w:b/>
          <w:bCs/>
          <w:color w:val="auto"/>
          <w:sz w:val="24"/>
          <w:szCs w:val="24"/>
          <w:lang w:val="en-US" w:eastAsia="zh-CN"/>
        </w:rPr>
        <w:t xml:space="preserve"> </w:t>
      </w:r>
      <w:r>
        <w:rPr>
          <w:rFonts w:hint="eastAsia" w:ascii="宋体" w:hAnsi="宋体" w:eastAsia="宋体" w:cs="宋体"/>
          <w:b/>
          <w:bCs/>
          <w:color w:val="auto"/>
          <w:sz w:val="24"/>
          <w:szCs w:val="24"/>
          <w:lang w:val="en-US" w:eastAsia="zh-CN"/>
        </w:rPr>
        <w:t>适用于处理不同超标项目的推荐技术</w:t>
      </w:r>
    </w:p>
    <w:tbl>
      <w:tblPr>
        <w:tblStyle w:val="15"/>
        <w:tblW w:w="8504"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023"/>
        <w:gridCol w:w="6481"/>
      </w:tblGrid>
      <w:tr w14:paraId="7A37DA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atLeast"/>
          <w:jc w:val="center"/>
        </w:trPr>
        <w:tc>
          <w:tcPr>
            <w:tcW w:w="2023" w:type="dxa"/>
            <w:tcBorders>
              <w:bottom w:val="single" w:color="000000" w:sz="4" w:space="0"/>
              <w:right w:val="single" w:color="000000" w:sz="4" w:space="0"/>
            </w:tcBorders>
            <w:noWrap w:val="0"/>
            <w:vAlign w:val="center"/>
          </w:tcPr>
          <w:p w14:paraId="54F1D472">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超标项目</w:t>
            </w:r>
          </w:p>
        </w:tc>
        <w:tc>
          <w:tcPr>
            <w:tcW w:w="6481" w:type="dxa"/>
            <w:tcBorders>
              <w:left w:val="single" w:color="000000" w:sz="4" w:space="0"/>
              <w:bottom w:val="single" w:color="000000" w:sz="4" w:space="0"/>
            </w:tcBorders>
            <w:noWrap w:val="0"/>
            <w:vAlign w:val="center"/>
          </w:tcPr>
          <w:p w14:paraId="41DC4289">
            <w:pPr>
              <w:pStyle w:val="27"/>
              <w:keepNext w:val="0"/>
              <w:keepLines w:val="0"/>
              <w:pageBreakBefore w:val="0"/>
              <w:widowControl w:val="0"/>
              <w:tabs>
                <w:tab w:val="left" w:pos="556"/>
                <w:tab w:val="left" w:pos="1108"/>
                <w:tab w:val="left" w:pos="1660"/>
              </w:tabs>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推</w:t>
            </w:r>
            <w:r>
              <w:rPr>
                <w:rFonts w:hint="eastAsia" w:ascii="宋体" w:hAnsi="宋体" w:eastAsia="宋体" w:cs="宋体"/>
                <w:sz w:val="21"/>
                <w:szCs w:val="21"/>
              </w:rPr>
              <w:tab/>
            </w:r>
            <w:r>
              <w:rPr>
                <w:rFonts w:hint="eastAsia" w:ascii="宋体" w:hAnsi="宋体" w:eastAsia="宋体" w:cs="宋体"/>
                <w:sz w:val="21"/>
                <w:szCs w:val="21"/>
              </w:rPr>
              <w:t>荐</w:t>
            </w:r>
            <w:r>
              <w:rPr>
                <w:rFonts w:hint="eastAsia" w:ascii="宋体" w:hAnsi="宋体" w:eastAsia="宋体" w:cs="宋体"/>
                <w:sz w:val="21"/>
                <w:szCs w:val="21"/>
              </w:rPr>
              <w:tab/>
            </w:r>
            <w:r>
              <w:rPr>
                <w:rFonts w:hint="eastAsia" w:ascii="宋体" w:hAnsi="宋体" w:eastAsia="宋体" w:cs="宋体"/>
                <w:sz w:val="21"/>
                <w:szCs w:val="21"/>
              </w:rPr>
              <w:t>技</w:t>
            </w:r>
            <w:r>
              <w:rPr>
                <w:rFonts w:hint="eastAsia" w:ascii="宋体" w:hAnsi="宋体" w:eastAsia="宋体" w:cs="宋体"/>
                <w:sz w:val="21"/>
                <w:szCs w:val="21"/>
              </w:rPr>
              <w:tab/>
            </w:r>
            <w:r>
              <w:rPr>
                <w:rFonts w:hint="eastAsia" w:ascii="宋体" w:hAnsi="宋体" w:eastAsia="宋体" w:cs="宋体"/>
                <w:sz w:val="21"/>
                <w:szCs w:val="21"/>
              </w:rPr>
              <w:t>术</w:t>
            </w:r>
          </w:p>
        </w:tc>
      </w:tr>
      <w:tr w14:paraId="701BAC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atLeast"/>
          <w:jc w:val="center"/>
        </w:trPr>
        <w:tc>
          <w:tcPr>
            <w:tcW w:w="2023" w:type="dxa"/>
            <w:tcBorders>
              <w:top w:val="single" w:color="000000" w:sz="4" w:space="0"/>
              <w:bottom w:val="single" w:color="000000" w:sz="4" w:space="0"/>
              <w:right w:val="single" w:color="000000" w:sz="4" w:space="0"/>
            </w:tcBorders>
            <w:noWrap w:val="0"/>
            <w:vAlign w:val="center"/>
          </w:tcPr>
          <w:p w14:paraId="1300F091">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浊度</w:t>
            </w:r>
          </w:p>
        </w:tc>
        <w:tc>
          <w:tcPr>
            <w:tcW w:w="6481" w:type="dxa"/>
            <w:tcBorders>
              <w:top w:val="single" w:color="000000" w:sz="4" w:space="0"/>
              <w:left w:val="single" w:color="000000" w:sz="4" w:space="0"/>
              <w:bottom w:val="single" w:color="000000" w:sz="4" w:space="0"/>
            </w:tcBorders>
            <w:noWrap w:val="0"/>
            <w:vAlign w:val="center"/>
          </w:tcPr>
          <w:p w14:paraId="2F7E111A">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快速砂滤池、絮凝、沉淀、过滤</w:t>
            </w:r>
          </w:p>
        </w:tc>
      </w:tr>
      <w:tr w14:paraId="6CD9E1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0" w:hRule="atLeast"/>
          <w:jc w:val="center"/>
        </w:trPr>
        <w:tc>
          <w:tcPr>
            <w:tcW w:w="2023" w:type="dxa"/>
            <w:tcBorders>
              <w:top w:val="single" w:color="000000" w:sz="4" w:space="0"/>
              <w:bottom w:val="single" w:color="000000" w:sz="4" w:space="0"/>
              <w:right w:val="single" w:color="000000" w:sz="4" w:space="0"/>
            </w:tcBorders>
            <w:noWrap w:val="0"/>
            <w:vAlign w:val="center"/>
          </w:tcPr>
          <w:p w14:paraId="490B1130">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色度</w:t>
            </w:r>
          </w:p>
        </w:tc>
        <w:tc>
          <w:tcPr>
            <w:tcW w:w="6481" w:type="dxa"/>
            <w:tcBorders>
              <w:top w:val="single" w:color="000000" w:sz="4" w:space="0"/>
              <w:left w:val="single" w:color="000000" w:sz="4" w:space="0"/>
              <w:bottom w:val="single" w:color="000000" w:sz="4" w:space="0"/>
            </w:tcBorders>
            <w:noWrap w:val="0"/>
            <w:vAlign w:val="center"/>
          </w:tcPr>
          <w:p w14:paraId="38DC9726">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lang w:eastAsia="zh-CN"/>
              </w:rPr>
            </w:pPr>
            <w:r>
              <w:rPr>
                <w:rFonts w:hint="eastAsia" w:ascii="宋体" w:hAnsi="宋体" w:eastAsia="宋体" w:cs="宋体"/>
                <w:spacing w:val="-19"/>
                <w:sz w:val="21"/>
                <w:szCs w:val="21"/>
                <w:lang w:eastAsia="zh-CN"/>
              </w:rPr>
              <w:t>快速砂滤池、絮凝；活性炭吸附；化学氧化预处理：臭氧、氯、高锰酸钾、</w:t>
            </w:r>
            <w:r>
              <w:rPr>
                <w:rFonts w:hint="eastAsia" w:ascii="宋体" w:hAnsi="宋体" w:eastAsia="宋体" w:cs="宋体"/>
                <w:spacing w:val="-5"/>
                <w:sz w:val="21"/>
                <w:szCs w:val="21"/>
                <w:lang w:eastAsia="zh-CN"/>
              </w:rPr>
              <w:t>二氧化氯</w:t>
            </w:r>
          </w:p>
        </w:tc>
      </w:tr>
      <w:tr w14:paraId="5867F3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atLeast"/>
          <w:jc w:val="center"/>
        </w:trPr>
        <w:tc>
          <w:tcPr>
            <w:tcW w:w="2023" w:type="dxa"/>
            <w:tcBorders>
              <w:top w:val="single" w:color="000000" w:sz="4" w:space="0"/>
              <w:bottom w:val="single" w:color="000000" w:sz="4" w:space="0"/>
              <w:right w:val="single" w:color="000000" w:sz="4" w:space="0"/>
            </w:tcBorders>
            <w:noWrap w:val="0"/>
            <w:vAlign w:val="center"/>
          </w:tcPr>
          <w:p w14:paraId="016DCF2D">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嗅味</w:t>
            </w:r>
          </w:p>
        </w:tc>
        <w:tc>
          <w:tcPr>
            <w:tcW w:w="6481" w:type="dxa"/>
            <w:tcBorders>
              <w:top w:val="single" w:color="000000" w:sz="4" w:space="0"/>
              <w:left w:val="single" w:color="000000" w:sz="4" w:space="0"/>
              <w:bottom w:val="single" w:color="000000" w:sz="4" w:space="0"/>
            </w:tcBorders>
            <w:noWrap w:val="0"/>
            <w:vAlign w:val="center"/>
          </w:tcPr>
          <w:p w14:paraId="1263DEA8">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化学氧化预处理：臭氧、氯、高锰酸钾、二氧化氯、活性炭</w:t>
            </w:r>
          </w:p>
        </w:tc>
      </w:tr>
      <w:tr w14:paraId="35D253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0" w:hRule="atLeast"/>
          <w:jc w:val="center"/>
        </w:trPr>
        <w:tc>
          <w:tcPr>
            <w:tcW w:w="2023" w:type="dxa"/>
            <w:tcBorders>
              <w:top w:val="single" w:color="000000" w:sz="4" w:space="0"/>
              <w:bottom w:val="single" w:color="000000" w:sz="4" w:space="0"/>
              <w:right w:val="single" w:color="000000" w:sz="4" w:space="0"/>
            </w:tcBorders>
            <w:noWrap w:val="0"/>
            <w:vAlign w:val="center"/>
          </w:tcPr>
          <w:p w14:paraId="5C7E674B">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氟化物</w:t>
            </w:r>
          </w:p>
        </w:tc>
        <w:tc>
          <w:tcPr>
            <w:tcW w:w="6481" w:type="dxa"/>
            <w:tcBorders>
              <w:top w:val="single" w:color="000000" w:sz="4" w:space="0"/>
              <w:left w:val="single" w:color="000000" w:sz="4" w:space="0"/>
              <w:bottom w:val="single" w:color="000000" w:sz="4" w:space="0"/>
            </w:tcBorders>
            <w:noWrap w:val="0"/>
            <w:vAlign w:val="center"/>
          </w:tcPr>
          <w:p w14:paraId="4BED83C9">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lang w:eastAsia="zh-CN"/>
              </w:rPr>
            </w:pPr>
            <w:r>
              <w:rPr>
                <w:rFonts w:hint="eastAsia" w:ascii="宋体" w:hAnsi="宋体" w:eastAsia="宋体" w:cs="宋体"/>
                <w:spacing w:val="-15"/>
                <w:sz w:val="21"/>
                <w:szCs w:val="21"/>
                <w:lang w:eastAsia="zh-CN"/>
              </w:rPr>
              <w:t>吸附法：氧化铝、磷酸二钙；混凝沉淀法：硫酸铝、聚合氯化铝；离子交</w:t>
            </w:r>
            <w:r>
              <w:rPr>
                <w:rFonts w:hint="eastAsia" w:ascii="宋体" w:hAnsi="宋体" w:eastAsia="宋体" w:cs="宋体"/>
                <w:spacing w:val="-6"/>
                <w:sz w:val="21"/>
                <w:szCs w:val="21"/>
                <w:lang w:eastAsia="zh-CN"/>
              </w:rPr>
              <w:t>换法；电渗析法</w:t>
            </w:r>
          </w:p>
        </w:tc>
      </w:tr>
      <w:tr w14:paraId="4C1D00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atLeast"/>
          <w:jc w:val="center"/>
        </w:trPr>
        <w:tc>
          <w:tcPr>
            <w:tcW w:w="2023" w:type="dxa"/>
            <w:tcBorders>
              <w:top w:val="single" w:color="000000" w:sz="4" w:space="0"/>
              <w:bottom w:val="single" w:color="000000" w:sz="4" w:space="0"/>
              <w:right w:val="single" w:color="000000" w:sz="4" w:space="0"/>
            </w:tcBorders>
            <w:noWrap w:val="0"/>
            <w:vAlign w:val="center"/>
          </w:tcPr>
          <w:p w14:paraId="395265D5">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氨氮</w:t>
            </w:r>
          </w:p>
        </w:tc>
        <w:tc>
          <w:tcPr>
            <w:tcW w:w="6481" w:type="dxa"/>
            <w:tcBorders>
              <w:top w:val="single" w:color="000000" w:sz="4" w:space="0"/>
              <w:left w:val="single" w:color="000000" w:sz="4" w:space="0"/>
              <w:bottom w:val="single" w:color="000000" w:sz="4" w:space="0"/>
            </w:tcBorders>
            <w:noWrap w:val="0"/>
            <w:vAlign w:val="center"/>
          </w:tcPr>
          <w:p w14:paraId="3B729F9A">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化学氧化预处理：氯、高锰酸钾；深度处理：臭氧-生物活性炭</w:t>
            </w:r>
          </w:p>
        </w:tc>
      </w:tr>
      <w:tr w14:paraId="5D3951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atLeast"/>
          <w:jc w:val="center"/>
        </w:trPr>
        <w:tc>
          <w:tcPr>
            <w:tcW w:w="2023" w:type="dxa"/>
            <w:tcBorders>
              <w:top w:val="single" w:color="000000" w:sz="4" w:space="0"/>
              <w:bottom w:val="single" w:color="000000" w:sz="4" w:space="0"/>
              <w:right w:val="single" w:color="000000" w:sz="4" w:space="0"/>
            </w:tcBorders>
            <w:noWrap w:val="0"/>
            <w:vAlign w:val="center"/>
          </w:tcPr>
          <w:p w14:paraId="369657E5">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铁、锰</w:t>
            </w:r>
          </w:p>
        </w:tc>
        <w:tc>
          <w:tcPr>
            <w:tcW w:w="6481" w:type="dxa"/>
            <w:tcBorders>
              <w:top w:val="single" w:color="000000" w:sz="4" w:space="0"/>
              <w:left w:val="single" w:color="000000" w:sz="4" w:space="0"/>
              <w:bottom w:val="single" w:color="000000" w:sz="4" w:space="0"/>
            </w:tcBorders>
            <w:noWrap w:val="0"/>
            <w:vAlign w:val="center"/>
          </w:tcPr>
          <w:p w14:paraId="0D44FD25">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锰砂；化学氧化预处理：氯、高锰酸钾；深度处理：臭氧-生物活性炭</w:t>
            </w:r>
          </w:p>
        </w:tc>
      </w:tr>
      <w:tr w14:paraId="71B55F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atLeast"/>
          <w:jc w:val="center"/>
        </w:trPr>
        <w:tc>
          <w:tcPr>
            <w:tcW w:w="2023" w:type="dxa"/>
            <w:tcBorders>
              <w:top w:val="single" w:color="000000" w:sz="4" w:space="0"/>
              <w:bottom w:val="single" w:color="000000" w:sz="4" w:space="0"/>
              <w:right w:val="single" w:color="000000" w:sz="4" w:space="0"/>
            </w:tcBorders>
            <w:noWrap w:val="0"/>
            <w:vAlign w:val="center"/>
          </w:tcPr>
          <w:p w14:paraId="1BFB9297">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挥发性有机物</w:t>
            </w:r>
          </w:p>
        </w:tc>
        <w:tc>
          <w:tcPr>
            <w:tcW w:w="6481" w:type="dxa"/>
            <w:tcBorders>
              <w:top w:val="single" w:color="000000" w:sz="4" w:space="0"/>
              <w:left w:val="single" w:color="000000" w:sz="4" w:space="0"/>
              <w:bottom w:val="single" w:color="000000" w:sz="4" w:space="0"/>
            </w:tcBorders>
            <w:noWrap w:val="0"/>
            <w:vAlign w:val="center"/>
          </w:tcPr>
          <w:p w14:paraId="1D2DAFF8">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rPr>
            </w:pPr>
            <w:r>
              <w:rPr>
                <w:rFonts w:hint="eastAsia" w:ascii="宋体" w:hAnsi="宋体" w:eastAsia="宋体" w:cs="宋体"/>
                <w:sz w:val="21"/>
                <w:szCs w:val="21"/>
              </w:rPr>
              <w:t>生物活性炭吸附</w:t>
            </w:r>
          </w:p>
        </w:tc>
      </w:tr>
      <w:tr w14:paraId="3E1E5A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0" w:hRule="atLeast"/>
          <w:jc w:val="center"/>
        </w:trPr>
        <w:tc>
          <w:tcPr>
            <w:tcW w:w="2023" w:type="dxa"/>
            <w:tcBorders>
              <w:top w:val="single" w:color="000000" w:sz="4" w:space="0"/>
              <w:bottom w:val="single" w:color="000000" w:sz="4" w:space="0"/>
              <w:right w:val="single" w:color="000000" w:sz="4" w:space="0"/>
            </w:tcBorders>
            <w:noWrap w:val="0"/>
            <w:vAlign w:val="center"/>
          </w:tcPr>
          <w:p w14:paraId="335EA702">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三氯甲烷和腐殖酸</w:t>
            </w:r>
          </w:p>
        </w:tc>
        <w:tc>
          <w:tcPr>
            <w:tcW w:w="6481" w:type="dxa"/>
            <w:tcBorders>
              <w:top w:val="single" w:color="000000" w:sz="4" w:space="0"/>
              <w:left w:val="single" w:color="000000" w:sz="4" w:space="0"/>
              <w:bottom w:val="single" w:color="000000" w:sz="4" w:space="0"/>
            </w:tcBorders>
            <w:noWrap w:val="0"/>
            <w:vAlign w:val="center"/>
          </w:tcPr>
          <w:p w14:paraId="1A68689E">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lang w:eastAsia="zh-CN"/>
              </w:rPr>
            </w:pPr>
            <w:r>
              <w:rPr>
                <w:rFonts w:hint="eastAsia" w:ascii="宋体" w:hAnsi="宋体" w:eastAsia="宋体" w:cs="宋体"/>
                <w:spacing w:val="-22"/>
                <w:sz w:val="21"/>
                <w:szCs w:val="21"/>
                <w:lang w:eastAsia="zh-CN"/>
              </w:rPr>
              <w:t>前驱物的去除：强化混凝、粒状活性炭、生物活性炭；氯化副产物的去除：</w:t>
            </w:r>
            <w:r>
              <w:rPr>
                <w:rFonts w:hint="eastAsia" w:ascii="宋体" w:hAnsi="宋体" w:eastAsia="宋体" w:cs="宋体"/>
                <w:spacing w:val="-5"/>
                <w:sz w:val="21"/>
                <w:szCs w:val="21"/>
                <w:lang w:eastAsia="zh-CN"/>
              </w:rPr>
              <w:t>粒状活性炭</w:t>
            </w:r>
          </w:p>
        </w:tc>
      </w:tr>
      <w:tr w14:paraId="79BE73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atLeast"/>
          <w:jc w:val="center"/>
        </w:trPr>
        <w:tc>
          <w:tcPr>
            <w:tcW w:w="2023" w:type="dxa"/>
            <w:tcBorders>
              <w:top w:val="single" w:color="000000" w:sz="4" w:space="0"/>
              <w:bottom w:val="single" w:color="000000" w:sz="4" w:space="0"/>
              <w:right w:val="single" w:color="000000" w:sz="4" w:space="0"/>
            </w:tcBorders>
            <w:noWrap w:val="0"/>
            <w:vAlign w:val="center"/>
          </w:tcPr>
          <w:p w14:paraId="75B69E4C">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有机化合物</w:t>
            </w:r>
          </w:p>
        </w:tc>
        <w:tc>
          <w:tcPr>
            <w:tcW w:w="6481" w:type="dxa"/>
            <w:tcBorders>
              <w:top w:val="single" w:color="000000" w:sz="4" w:space="0"/>
              <w:left w:val="single" w:color="000000" w:sz="4" w:space="0"/>
              <w:bottom w:val="single" w:color="000000" w:sz="4" w:space="0"/>
            </w:tcBorders>
            <w:noWrap w:val="0"/>
            <w:vAlign w:val="center"/>
          </w:tcPr>
          <w:p w14:paraId="75D7C13A">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rPr>
            </w:pPr>
            <w:r>
              <w:rPr>
                <w:rFonts w:hint="eastAsia" w:ascii="宋体" w:hAnsi="宋体" w:eastAsia="宋体" w:cs="宋体"/>
                <w:sz w:val="21"/>
                <w:szCs w:val="21"/>
              </w:rPr>
              <w:t>生物活性炭、膜处理</w:t>
            </w:r>
          </w:p>
        </w:tc>
      </w:tr>
      <w:tr w14:paraId="6545C8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atLeast"/>
          <w:jc w:val="center"/>
        </w:trPr>
        <w:tc>
          <w:tcPr>
            <w:tcW w:w="2023" w:type="dxa"/>
            <w:tcBorders>
              <w:top w:val="single" w:color="000000" w:sz="4" w:space="0"/>
              <w:bottom w:val="single" w:color="000000" w:sz="4" w:space="0"/>
              <w:right w:val="single" w:color="000000" w:sz="4" w:space="0"/>
            </w:tcBorders>
            <w:noWrap w:val="0"/>
            <w:vAlign w:val="center"/>
          </w:tcPr>
          <w:p w14:paraId="4329AD27">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细菌和病毒</w:t>
            </w:r>
          </w:p>
        </w:tc>
        <w:tc>
          <w:tcPr>
            <w:tcW w:w="6481" w:type="dxa"/>
            <w:tcBorders>
              <w:top w:val="single" w:color="000000" w:sz="4" w:space="0"/>
              <w:left w:val="single" w:color="000000" w:sz="4" w:space="0"/>
              <w:bottom w:val="single" w:color="000000" w:sz="4" w:space="0"/>
            </w:tcBorders>
            <w:noWrap w:val="0"/>
            <w:vAlign w:val="center"/>
          </w:tcPr>
          <w:p w14:paraId="31E373FD">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lang w:eastAsia="zh-CN"/>
              </w:rPr>
            </w:pPr>
            <w:r>
              <w:rPr>
                <w:rFonts w:hint="eastAsia" w:ascii="宋体" w:hAnsi="宋体" w:eastAsia="宋体" w:cs="宋体"/>
                <w:spacing w:val="-26"/>
                <w:sz w:val="21"/>
                <w:szCs w:val="21"/>
                <w:lang w:eastAsia="zh-CN"/>
              </w:rPr>
              <w:t>过滤</w:t>
            </w:r>
            <w:r>
              <w:rPr>
                <w:rFonts w:hint="eastAsia" w:ascii="宋体" w:hAnsi="宋体" w:eastAsia="宋体" w:cs="宋体"/>
                <w:spacing w:val="-25"/>
                <w:sz w:val="21"/>
                <w:szCs w:val="21"/>
                <w:lang w:eastAsia="zh-CN"/>
              </w:rPr>
              <w:t>（</w:t>
            </w:r>
            <w:r>
              <w:rPr>
                <w:rFonts w:hint="eastAsia" w:ascii="宋体" w:hAnsi="宋体" w:eastAsia="宋体" w:cs="宋体"/>
                <w:spacing w:val="-27"/>
                <w:sz w:val="21"/>
                <w:szCs w:val="21"/>
                <w:lang w:eastAsia="zh-CN"/>
              </w:rPr>
              <w:t>部分去除）；</w:t>
            </w:r>
            <w:r>
              <w:rPr>
                <w:rFonts w:hint="eastAsia" w:ascii="宋体" w:hAnsi="宋体" w:eastAsia="宋体" w:cs="宋体"/>
                <w:spacing w:val="-26"/>
                <w:sz w:val="21"/>
                <w:szCs w:val="21"/>
                <w:lang w:eastAsia="zh-CN"/>
              </w:rPr>
              <w:t>消毒处理：氯、二氧化氯、臭氧、膜处理、紫外消毒</w:t>
            </w:r>
          </w:p>
        </w:tc>
      </w:tr>
      <w:tr w14:paraId="6055C7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40" w:hRule="atLeast"/>
          <w:jc w:val="center"/>
        </w:trPr>
        <w:tc>
          <w:tcPr>
            <w:tcW w:w="2023" w:type="dxa"/>
            <w:tcBorders>
              <w:top w:val="single" w:color="000000" w:sz="4" w:space="0"/>
              <w:bottom w:val="single" w:color="000000" w:sz="4" w:space="0"/>
              <w:right w:val="single" w:color="000000" w:sz="4" w:space="0"/>
            </w:tcBorders>
            <w:noWrap w:val="0"/>
            <w:vAlign w:val="center"/>
          </w:tcPr>
          <w:p w14:paraId="37E064A6">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汞、铬等部分重金属</w:t>
            </w:r>
          </w:p>
          <w:p w14:paraId="7BEA8D36">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（应急状态）</w:t>
            </w:r>
          </w:p>
        </w:tc>
        <w:tc>
          <w:tcPr>
            <w:tcW w:w="6481" w:type="dxa"/>
            <w:tcBorders>
              <w:top w:val="single" w:color="000000" w:sz="4" w:space="0"/>
              <w:left w:val="single" w:color="000000" w:sz="4" w:space="0"/>
              <w:bottom w:val="single" w:color="000000" w:sz="4" w:space="0"/>
            </w:tcBorders>
            <w:noWrap w:val="0"/>
            <w:vAlign w:val="center"/>
          </w:tcPr>
          <w:p w14:paraId="7296D43B">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氧化法：高锰酸钾；生物活性炭吸附（部分去除）</w:t>
            </w:r>
          </w:p>
        </w:tc>
      </w:tr>
      <w:tr w14:paraId="0C2EE4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0" w:hRule="atLeast"/>
          <w:jc w:val="center"/>
        </w:trPr>
        <w:tc>
          <w:tcPr>
            <w:tcW w:w="2023" w:type="dxa"/>
            <w:tcBorders>
              <w:top w:val="single" w:color="000000" w:sz="4" w:space="0"/>
              <w:right w:val="single" w:color="000000" w:sz="4" w:space="0"/>
            </w:tcBorders>
            <w:noWrap w:val="0"/>
            <w:vAlign w:val="center"/>
          </w:tcPr>
          <w:p w14:paraId="292E7AD7">
            <w:pPr>
              <w:pStyle w:val="2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宋体" w:hAnsi="宋体" w:eastAsia="宋体" w:cs="宋体"/>
                <w:sz w:val="21"/>
                <w:szCs w:val="21"/>
              </w:rPr>
            </w:pPr>
            <w:r>
              <w:rPr>
                <w:rFonts w:hint="eastAsia" w:ascii="宋体" w:hAnsi="宋体" w:eastAsia="宋体" w:cs="宋体"/>
                <w:sz w:val="21"/>
                <w:szCs w:val="21"/>
              </w:rPr>
              <w:t>藻类及藻毒素</w:t>
            </w:r>
          </w:p>
        </w:tc>
        <w:tc>
          <w:tcPr>
            <w:tcW w:w="6481" w:type="dxa"/>
            <w:tcBorders>
              <w:top w:val="single" w:color="000000" w:sz="4" w:space="0"/>
              <w:left w:val="single" w:color="000000" w:sz="4" w:space="0"/>
            </w:tcBorders>
            <w:noWrap w:val="0"/>
            <w:vAlign w:val="center"/>
          </w:tcPr>
          <w:p w14:paraId="28F1B5FE">
            <w:pPr>
              <w:pStyle w:val="27"/>
              <w:keepNext w:val="0"/>
              <w:keepLines w:val="0"/>
              <w:pageBreakBefore w:val="0"/>
              <w:widowControl w:val="0"/>
              <w:kinsoku/>
              <w:wordWrap/>
              <w:overflowPunct/>
              <w:topLinePunct w:val="0"/>
              <w:autoSpaceDE w:val="0"/>
              <w:autoSpaceDN w:val="0"/>
              <w:bidi w:val="0"/>
              <w:adjustRightInd/>
              <w:snapToGrid/>
              <w:spacing w:line="240" w:lineRule="atLeast"/>
              <w:textAlignment w:val="auto"/>
              <w:rPr>
                <w:rFonts w:hint="eastAsia" w:ascii="宋体" w:hAnsi="宋体" w:eastAsia="宋体" w:cs="宋体"/>
                <w:sz w:val="21"/>
                <w:szCs w:val="21"/>
                <w:lang w:eastAsia="zh-CN"/>
              </w:rPr>
            </w:pPr>
            <w:r>
              <w:rPr>
                <w:rFonts w:hint="eastAsia" w:ascii="宋体" w:hAnsi="宋体" w:eastAsia="宋体" w:cs="宋体"/>
                <w:spacing w:val="-14"/>
                <w:sz w:val="21"/>
                <w:szCs w:val="21"/>
                <w:lang w:eastAsia="zh-CN"/>
              </w:rPr>
              <w:t>化学氧化预处理：除藻剂法、高锰酸钾、氯；微滤法；气浮法；臭氧氧化法</w:t>
            </w:r>
          </w:p>
        </w:tc>
      </w:tr>
    </w:tbl>
    <w:p w14:paraId="03413014">
      <w:pPr>
        <w:pStyle w:val="6"/>
        <w:keepNext/>
        <w:keepLines/>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4.7.2 供水安全保障</w:t>
      </w:r>
      <w:bookmarkStart w:id="92" w:name="_Toc4905"/>
    </w:p>
    <w:p w14:paraId="72515D7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当出现水源地突发环境事件，应急供水保障组应根据污染物的种类、浓度、可能影响取水口的时间等，及时采取深度处理、低压供水或启动备用水源等应急措施，并加强污染物监测，待水质满足取水要求时恢复取水和供水。无备用水源的，应使用应急供水车等设施保障居民用水。</w:t>
      </w:r>
    </w:p>
    <w:p w14:paraId="2E65E354">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93" w:name="_Toc721"/>
      <w:bookmarkStart w:id="94" w:name="_Toc186123045"/>
      <w:bookmarkStart w:id="95" w:name="_Toc186122740"/>
      <w:bookmarkStart w:id="96" w:name="_Toc16092"/>
      <w:bookmarkStart w:id="97" w:name="_Toc186124198"/>
      <w:bookmarkStart w:id="98" w:name="_Toc186125033"/>
      <w:r>
        <w:rPr>
          <w:rFonts w:hint="eastAsia" w:ascii="宋体" w:hAnsi="宋体" w:eastAsia="宋体" w:cs="宋体"/>
          <w:b/>
          <w:bCs/>
          <w:color w:val="000000"/>
          <w:sz w:val="28"/>
          <w:szCs w:val="28"/>
          <w:lang w:val="en-US" w:eastAsia="zh-CN"/>
        </w:rPr>
        <w:t>4.8 物资调集及应急设施启用</w:t>
      </w:r>
      <w:bookmarkEnd w:id="92"/>
      <w:bookmarkEnd w:id="93"/>
      <w:bookmarkEnd w:id="94"/>
      <w:bookmarkEnd w:id="95"/>
      <w:bookmarkEnd w:id="96"/>
      <w:bookmarkEnd w:id="97"/>
      <w:bookmarkEnd w:id="98"/>
    </w:p>
    <w:p w14:paraId="5D1F576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bookmarkStart w:id="99" w:name="_Toc186123046"/>
      <w:bookmarkStart w:id="100" w:name="_Toc186124199"/>
      <w:bookmarkStart w:id="101" w:name="_Toc186125034"/>
      <w:bookmarkStart w:id="102" w:name="_Toc31212"/>
      <w:bookmarkStart w:id="103" w:name="_Toc186122741"/>
      <w:bookmarkStart w:id="104" w:name="_Toc25284"/>
      <w:r>
        <w:rPr>
          <w:rFonts w:hint="eastAsia" w:ascii="宋体" w:hAnsi="宋体" w:eastAsia="宋体" w:cs="宋体"/>
          <w:color w:val="auto"/>
          <w:sz w:val="28"/>
          <w:szCs w:val="28"/>
          <w:lang w:val="en-US" w:eastAsia="zh-CN"/>
        </w:rPr>
        <w:t>应急物资、装备</w:t>
      </w:r>
      <w:r>
        <w:rPr>
          <w:rFonts w:hint="eastAsia" w:cs="宋体"/>
          <w:color w:val="auto"/>
          <w:sz w:val="28"/>
          <w:szCs w:val="28"/>
          <w:lang w:val="en-US" w:eastAsia="zh-CN"/>
        </w:rPr>
        <w:t>在突发环境事件发生时</w:t>
      </w:r>
      <w:r>
        <w:rPr>
          <w:rFonts w:hint="eastAsia" w:ascii="宋体" w:hAnsi="宋体" w:eastAsia="宋体" w:cs="宋体"/>
          <w:color w:val="auto"/>
          <w:sz w:val="28"/>
          <w:szCs w:val="28"/>
          <w:lang w:val="en-US" w:eastAsia="zh-CN"/>
        </w:rPr>
        <w:t>由综合协调组进行统一协调调配。</w:t>
      </w:r>
    </w:p>
    <w:p w14:paraId="2D42DE75">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105" w:name="_Toc19293"/>
      <w:r>
        <w:rPr>
          <w:rFonts w:hint="eastAsia" w:ascii="宋体" w:hAnsi="宋体" w:eastAsia="宋体" w:cs="宋体"/>
          <w:b/>
          <w:bCs/>
          <w:color w:val="000000"/>
          <w:sz w:val="28"/>
          <w:szCs w:val="28"/>
          <w:lang w:val="en-US" w:eastAsia="zh-CN"/>
        </w:rPr>
        <w:t>4.9 舆情监测与信息发布</w:t>
      </w:r>
      <w:bookmarkEnd w:id="99"/>
      <w:bookmarkEnd w:id="100"/>
      <w:bookmarkEnd w:id="101"/>
      <w:bookmarkEnd w:id="102"/>
      <w:bookmarkEnd w:id="103"/>
      <w:bookmarkEnd w:id="104"/>
      <w:bookmarkEnd w:id="105"/>
    </w:p>
    <w:p w14:paraId="2F6B5EC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综合协调组负责及时按规定通过新闻媒体发布饮用水水源地突发污染事件处置的相关信息，监控、引导社会舆情。现场应急指挥部在突发环境事件发生后，应第一时间通过政府发布新闻通稿、举行新闻发布会等多种形式，借助电视、广播、报纸、网络等多种途径，运用微博、微信、移动客户端等新媒体平台，主动、及时、准确、客观地向社会发布突发环境事件有关信息，回应社会关切，澄清不实信息，正确引导社会舆论。发布内容包括事件原因、影响区域、已采取的措施及成效、公众应注意的防范措施、热线电话等。</w:t>
      </w:r>
    </w:p>
    <w:p w14:paraId="24DA5B98">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106" w:name="_Toc186123047"/>
      <w:bookmarkStart w:id="107" w:name="_Toc186124200"/>
      <w:bookmarkStart w:id="108" w:name="_Toc186122742"/>
      <w:bookmarkStart w:id="109" w:name="_Toc186125035"/>
      <w:bookmarkStart w:id="110" w:name="_Toc22998"/>
      <w:bookmarkStart w:id="111" w:name="_Toc1903"/>
      <w:bookmarkStart w:id="112" w:name="_Toc19502"/>
      <w:r>
        <w:rPr>
          <w:rFonts w:hint="eastAsia" w:ascii="宋体" w:hAnsi="宋体" w:eastAsia="宋体" w:cs="宋体"/>
          <w:b/>
          <w:bCs/>
          <w:color w:val="000000"/>
          <w:sz w:val="28"/>
          <w:szCs w:val="28"/>
          <w:lang w:val="en-US" w:eastAsia="zh-CN"/>
        </w:rPr>
        <w:t>4.10 响应终止</w:t>
      </w:r>
      <w:bookmarkEnd w:id="106"/>
      <w:bookmarkEnd w:id="107"/>
      <w:bookmarkEnd w:id="108"/>
      <w:bookmarkEnd w:id="109"/>
      <w:bookmarkEnd w:id="110"/>
      <w:bookmarkEnd w:id="111"/>
      <w:bookmarkEnd w:id="112"/>
    </w:p>
    <w:p w14:paraId="390385E8">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符合下列情形之一的，可终止应急响应。</w:t>
      </w:r>
    </w:p>
    <w:p w14:paraId="76DCDB4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（1）进入水源保护区陆域范围的污染物已成功围堵，且清运至水源保护区外，未向水域扩散时；</w:t>
      </w:r>
    </w:p>
    <w:p w14:paraId="2A5F503C">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（2）进入水源保护区水域范围的</w:t>
      </w:r>
      <w:r>
        <w:rPr>
          <w:rFonts w:hint="eastAsia" w:cs="宋体"/>
          <w:color w:val="auto"/>
          <w:sz w:val="28"/>
          <w:szCs w:val="28"/>
          <w:lang w:val="en-US" w:eastAsia="zh-CN"/>
        </w:rPr>
        <w:t>污染源</w:t>
      </w:r>
      <w:r>
        <w:rPr>
          <w:rFonts w:hint="eastAsia" w:ascii="宋体" w:hAnsi="宋体" w:eastAsia="宋体" w:cs="宋体"/>
          <w:color w:val="auto"/>
          <w:sz w:val="28"/>
          <w:szCs w:val="28"/>
          <w:lang w:val="en-US" w:eastAsia="zh-CN"/>
        </w:rPr>
        <w:t>已成功拦截或导流至水源保护区外，没有向取水口扩散的风险，且水质监测结果稳定达标；</w:t>
      </w:r>
    </w:p>
    <w:p w14:paraId="0F32D40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（3）水质监测结果尚未稳定达标，但根据应急专家组建议可以恢复正常</w:t>
      </w:r>
      <w:r>
        <w:rPr>
          <w:rFonts w:hint="eastAsia" w:cs="宋体"/>
          <w:color w:val="auto"/>
          <w:sz w:val="28"/>
          <w:szCs w:val="28"/>
          <w:lang w:val="en-US" w:eastAsia="zh-CN"/>
        </w:rPr>
        <w:t>取水</w:t>
      </w:r>
      <w:r>
        <w:rPr>
          <w:rFonts w:hint="eastAsia" w:ascii="宋体" w:hAnsi="宋体" w:eastAsia="宋体" w:cs="宋体"/>
          <w:color w:val="auto"/>
          <w:sz w:val="28"/>
          <w:szCs w:val="28"/>
          <w:lang w:val="en-US" w:eastAsia="zh-CN"/>
        </w:rPr>
        <w:t>。</w:t>
      </w:r>
    </w:p>
    <w:p w14:paraId="0BA3B44C">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由专家组进行综合评估，在符合解除应急响应的条件后，提出响应终止的建议，由区指挥部批准同意响应终止。</w:t>
      </w:r>
    </w:p>
    <w:p w14:paraId="41FE0654">
      <w:pP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br w:type="page"/>
      </w:r>
    </w:p>
    <w:p w14:paraId="0D50696E">
      <w:pPr>
        <w:pStyle w:val="14"/>
        <w:keepNext w:val="0"/>
        <w:keepLines w:val="0"/>
        <w:pageBreakBefore w:val="0"/>
        <w:widowControl/>
        <w:kinsoku/>
        <w:wordWrap/>
        <w:overflowPunct/>
        <w:topLinePunct w:val="0"/>
        <w:autoSpaceDE/>
        <w:autoSpaceDN/>
        <w:bidi w:val="0"/>
        <w:adjustRightInd w:val="0"/>
        <w:snapToGrid/>
        <w:spacing w:beforeAutospacing="0" w:line="360" w:lineRule="auto"/>
        <w:ind w:firstLine="0" w:firstLineChars="0"/>
        <w:jc w:val="center"/>
        <w:textAlignment w:val="auto"/>
        <w:outlineLvl w:val="0"/>
        <w:rPr>
          <w:rStyle w:val="18"/>
          <w:rFonts w:hint="default" w:ascii="宋体" w:hAnsi="宋体" w:eastAsia="宋体" w:cs="宋体"/>
          <w:b/>
          <w:bCs/>
          <w:color w:val="000000"/>
          <w:sz w:val="32"/>
          <w:szCs w:val="32"/>
          <w:lang w:val="en-US" w:eastAsia="zh-CN"/>
        </w:rPr>
      </w:pPr>
      <w:bookmarkStart w:id="113" w:name="_Toc186124984"/>
      <w:bookmarkStart w:id="114" w:name="_Toc186124159"/>
      <w:bookmarkStart w:id="115" w:name="_Toc16130"/>
      <w:bookmarkStart w:id="116" w:name="_Toc31622"/>
      <w:r>
        <w:rPr>
          <w:rStyle w:val="18"/>
          <w:rFonts w:hint="eastAsia" w:cs="宋体"/>
          <w:b/>
          <w:bCs/>
          <w:color w:val="000000"/>
          <w:sz w:val="32"/>
          <w:szCs w:val="32"/>
          <w:lang w:val="en-US" w:eastAsia="zh-CN"/>
        </w:rPr>
        <w:t>5</w:t>
      </w:r>
      <w:r>
        <w:rPr>
          <w:rStyle w:val="18"/>
          <w:rFonts w:hint="eastAsia" w:ascii="宋体" w:hAnsi="宋体" w:eastAsia="宋体" w:cs="宋体"/>
          <w:b/>
          <w:bCs/>
          <w:color w:val="000000"/>
          <w:sz w:val="32"/>
          <w:szCs w:val="32"/>
          <w:lang w:val="en-US" w:eastAsia="zh-CN"/>
        </w:rPr>
        <w:t xml:space="preserve"> </w:t>
      </w:r>
      <w:bookmarkEnd w:id="113"/>
      <w:bookmarkEnd w:id="114"/>
      <w:r>
        <w:rPr>
          <w:rStyle w:val="18"/>
          <w:rFonts w:hint="eastAsia" w:cs="宋体"/>
          <w:b/>
          <w:bCs/>
          <w:color w:val="000000"/>
          <w:sz w:val="32"/>
          <w:szCs w:val="32"/>
          <w:lang w:val="en-US" w:eastAsia="zh-CN"/>
        </w:rPr>
        <w:t>后期工作</w:t>
      </w:r>
      <w:bookmarkEnd w:id="115"/>
      <w:bookmarkEnd w:id="116"/>
    </w:p>
    <w:p w14:paraId="5D44D45A">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117" w:name="_Toc17128"/>
      <w:bookmarkStart w:id="118" w:name="_Toc10713"/>
      <w:r>
        <w:rPr>
          <w:rFonts w:hint="eastAsia" w:ascii="宋体" w:hAnsi="宋体" w:cs="宋体"/>
          <w:b/>
          <w:bCs/>
          <w:color w:val="000000"/>
          <w:sz w:val="28"/>
          <w:szCs w:val="28"/>
          <w:lang w:val="en-US" w:eastAsia="zh-CN"/>
        </w:rPr>
        <w:t>5</w:t>
      </w:r>
      <w:r>
        <w:rPr>
          <w:rFonts w:hint="eastAsia" w:ascii="宋体" w:hAnsi="宋体" w:eastAsia="宋体" w:cs="宋体"/>
          <w:b/>
          <w:bCs/>
          <w:color w:val="000000"/>
          <w:sz w:val="28"/>
          <w:szCs w:val="28"/>
          <w:lang w:val="en-US" w:eastAsia="zh-CN"/>
        </w:rPr>
        <w:t>.1 后期防控</w:t>
      </w:r>
      <w:bookmarkEnd w:id="117"/>
      <w:bookmarkEnd w:id="118"/>
      <w:bookmarkStart w:id="119" w:name="_Toc27647"/>
    </w:p>
    <w:p w14:paraId="067C7A6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后期防控主要包括：</w:t>
      </w:r>
    </w:p>
    <w:p w14:paraId="013EA244">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（1）油品、化学品污染环境净化和消洗</w:t>
      </w:r>
    </w:p>
    <w:p w14:paraId="722EFF1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油品、化学品能重新利用的则应回收再利用；不能重新利用的，可交有资质的单位处置；农药等毒性物质尽可能交与有资质的危险废物处理的单位净化处置。把消防毒剂水溶液装于消防车水罐，经消防泵加压后，通过水带、水枪以开花或喷雾水流喷洒。用吸附垫、活性炭等具有吸附能力的物质，吸附回收后转移委托有资质的单位处置，也可用喷射雾状水进行稀释降毒。受污染水体抽吸进入活性炭设施，净化处理达标后排入污水处理站，废弃活性炭委托有资质的单位处置。</w:t>
      </w:r>
    </w:p>
    <w:p w14:paraId="11B28705">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（2）被油品、化学品污染的河道或水库岸线</w:t>
      </w:r>
    </w:p>
    <w:p w14:paraId="52E8A98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对污染产生的死鱼、动物等进行打捞收集，并依法依规消毒填埋处理；</w:t>
      </w:r>
      <w:r>
        <w:rPr>
          <w:rFonts w:hint="eastAsia" w:cs="宋体"/>
          <w:color w:val="auto"/>
          <w:sz w:val="28"/>
          <w:szCs w:val="28"/>
          <w:lang w:val="en-US" w:eastAsia="zh-CN"/>
        </w:rPr>
        <w:t>使用</w:t>
      </w:r>
      <w:r>
        <w:rPr>
          <w:rFonts w:hint="eastAsia" w:ascii="宋体" w:hAnsi="宋体" w:eastAsia="宋体" w:cs="宋体"/>
          <w:color w:val="auto"/>
          <w:sz w:val="28"/>
          <w:szCs w:val="28"/>
          <w:lang w:val="en-US" w:eastAsia="zh-CN"/>
        </w:rPr>
        <w:t>消油剂或吸附剂进行消除；使用刷子或吸尘器除去颗粒性污染物，或使用简单工具收集被污染沙石至容器内，按危险固废处置。</w:t>
      </w:r>
    </w:p>
    <w:p w14:paraId="0ED746FB">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（3）被污染的土壤</w:t>
      </w:r>
    </w:p>
    <w:p w14:paraId="2B518283">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使用简单工具将表层剥离装入容器，并委托具备处理资质的单位净化处置；若环境不允许挖掘或清除大量土壤时，可使用物理、化学或生物方法消除。</w:t>
      </w:r>
    </w:p>
    <w:p w14:paraId="4784C2C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（4）清理的藻类</w:t>
      </w:r>
    </w:p>
    <w:p w14:paraId="50F63AA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藻类捕捞后运送到保护区外指定场所堆放，并采用沼气发生池、搅拌发酵、除臭分解等无害化处理手段，使之成为可利用的能源或有机肥料。</w:t>
      </w:r>
    </w:p>
    <w:p w14:paraId="0D56C8F3">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120" w:name="_Toc7612"/>
      <w:bookmarkStart w:id="121" w:name="_Toc11625"/>
      <w:r>
        <w:rPr>
          <w:rFonts w:hint="eastAsia" w:ascii="宋体" w:hAnsi="宋体" w:cs="宋体"/>
          <w:b/>
          <w:bCs/>
          <w:color w:val="000000"/>
          <w:sz w:val="28"/>
          <w:szCs w:val="28"/>
          <w:lang w:val="en-US" w:eastAsia="zh-CN"/>
        </w:rPr>
        <w:t>5</w:t>
      </w:r>
      <w:r>
        <w:rPr>
          <w:rFonts w:hint="eastAsia" w:ascii="宋体" w:hAnsi="宋体" w:eastAsia="宋体" w:cs="宋体"/>
          <w:b/>
          <w:bCs/>
          <w:color w:val="000000"/>
          <w:sz w:val="28"/>
          <w:szCs w:val="28"/>
          <w:lang w:val="en-US" w:eastAsia="zh-CN"/>
        </w:rPr>
        <w:t>.2 事件调查</w:t>
      </w:r>
      <w:bookmarkEnd w:id="119"/>
      <w:bookmarkEnd w:id="120"/>
      <w:bookmarkEnd w:id="121"/>
      <w:bookmarkStart w:id="122" w:name="_Toc7881"/>
    </w:p>
    <w:p w14:paraId="2E72AB0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根据事件调查的有关规定</w:t>
      </w:r>
      <w:r>
        <w:rPr>
          <w:rFonts w:hint="eastAsia" w:cs="宋体"/>
          <w:color w:val="auto"/>
          <w:sz w:val="28"/>
          <w:szCs w:val="28"/>
          <w:lang w:val="en-US" w:eastAsia="zh-CN"/>
        </w:rPr>
        <w:t>河堰镇应协助开展事件调查</w:t>
      </w:r>
      <w:r>
        <w:rPr>
          <w:rFonts w:hint="eastAsia" w:ascii="宋体" w:hAnsi="宋体" w:eastAsia="宋体" w:cs="宋体"/>
          <w:color w:val="auto"/>
          <w:sz w:val="28"/>
          <w:szCs w:val="28"/>
          <w:lang w:val="en-US" w:eastAsia="zh-CN"/>
        </w:rPr>
        <w:t>，一般或较大环境事件应由区生态环境局牵头，有关部门配合，组织开展事件调查，查明事件原因和性质，提出整改防范措施和处理建议。相关单位或企业应积极整改，并形成整改反馈报告。重大或特别重大事件由市政府或市政府指定部门组织调查。</w:t>
      </w:r>
    </w:p>
    <w:p w14:paraId="3A866242">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123" w:name="_Toc27055"/>
      <w:bookmarkStart w:id="124" w:name="_Toc6650"/>
      <w:r>
        <w:rPr>
          <w:rFonts w:hint="eastAsia" w:ascii="宋体" w:hAnsi="宋体" w:cs="宋体"/>
          <w:b/>
          <w:bCs/>
          <w:color w:val="000000"/>
          <w:sz w:val="28"/>
          <w:szCs w:val="28"/>
          <w:lang w:val="en-US" w:eastAsia="zh-CN"/>
        </w:rPr>
        <w:t>5</w:t>
      </w:r>
      <w:r>
        <w:rPr>
          <w:rFonts w:hint="eastAsia" w:ascii="宋体" w:hAnsi="宋体" w:eastAsia="宋体" w:cs="宋体"/>
          <w:b/>
          <w:bCs/>
          <w:color w:val="000000"/>
          <w:sz w:val="28"/>
          <w:szCs w:val="28"/>
          <w:lang w:val="en-US" w:eastAsia="zh-CN"/>
        </w:rPr>
        <w:t>.3 损害评估</w:t>
      </w:r>
      <w:bookmarkEnd w:id="122"/>
      <w:bookmarkEnd w:id="123"/>
      <w:bookmarkEnd w:id="124"/>
      <w:bookmarkStart w:id="125" w:name="_Toc24184"/>
    </w:p>
    <w:p w14:paraId="65979E50">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根据有关规定，</w:t>
      </w:r>
      <w:r>
        <w:rPr>
          <w:rFonts w:hint="eastAsia" w:cs="宋体"/>
          <w:color w:val="auto"/>
          <w:sz w:val="28"/>
          <w:szCs w:val="28"/>
          <w:lang w:val="en-US" w:eastAsia="zh-CN"/>
        </w:rPr>
        <w:t>河堰镇</w:t>
      </w:r>
      <w:r>
        <w:rPr>
          <w:rFonts w:hint="eastAsia" w:ascii="宋体" w:hAnsi="宋体" w:eastAsia="宋体" w:cs="宋体"/>
          <w:color w:val="auto"/>
          <w:sz w:val="28"/>
          <w:szCs w:val="28"/>
          <w:lang w:val="en-US" w:eastAsia="zh-CN"/>
        </w:rPr>
        <w:t>督促造成水源地突发环境事件及污染的个人或单位及时组织开展污染损害评估，并将经评审后的评估结果向社会公布。若造成水源地突发环境事件及污染的个人或单位不明确，应由</w:t>
      </w:r>
      <w:r>
        <w:rPr>
          <w:rFonts w:hint="eastAsia" w:cs="宋体"/>
          <w:color w:val="auto"/>
          <w:sz w:val="28"/>
          <w:szCs w:val="28"/>
          <w:lang w:val="en-US" w:eastAsia="zh-CN"/>
        </w:rPr>
        <w:t>河堰镇</w:t>
      </w:r>
      <w:r>
        <w:rPr>
          <w:rFonts w:hint="eastAsia" w:ascii="宋体" w:hAnsi="宋体" w:eastAsia="宋体" w:cs="宋体"/>
          <w:color w:val="auto"/>
          <w:sz w:val="28"/>
          <w:szCs w:val="28"/>
          <w:lang w:val="en-US" w:eastAsia="zh-CN"/>
        </w:rPr>
        <w:t>组织开展污染损害评估，并将经评审后的评估结果向社会公布。</w:t>
      </w:r>
    </w:p>
    <w:p w14:paraId="5F202DD6">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126" w:name="_Toc25595"/>
      <w:bookmarkStart w:id="127" w:name="_Toc25196"/>
      <w:r>
        <w:rPr>
          <w:rFonts w:hint="eastAsia" w:ascii="宋体" w:hAnsi="宋体" w:cs="宋体"/>
          <w:b/>
          <w:bCs/>
          <w:color w:val="000000"/>
          <w:sz w:val="28"/>
          <w:szCs w:val="28"/>
          <w:lang w:val="en-US" w:eastAsia="zh-CN"/>
        </w:rPr>
        <w:t>5</w:t>
      </w:r>
      <w:r>
        <w:rPr>
          <w:rFonts w:hint="eastAsia" w:ascii="宋体" w:hAnsi="宋体" w:eastAsia="宋体" w:cs="宋体"/>
          <w:b/>
          <w:bCs/>
          <w:color w:val="000000"/>
          <w:sz w:val="28"/>
          <w:szCs w:val="28"/>
          <w:lang w:val="en-US" w:eastAsia="zh-CN"/>
        </w:rPr>
        <w:t>.4 善后处置</w:t>
      </w:r>
      <w:bookmarkEnd w:id="125"/>
      <w:bookmarkEnd w:id="126"/>
      <w:bookmarkEnd w:id="127"/>
    </w:p>
    <w:p w14:paraId="693908A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由</w:t>
      </w:r>
      <w:r>
        <w:rPr>
          <w:rFonts w:hint="eastAsia" w:cs="宋体"/>
          <w:color w:val="auto"/>
          <w:sz w:val="28"/>
          <w:szCs w:val="28"/>
          <w:lang w:val="en-US" w:eastAsia="zh-CN"/>
        </w:rPr>
        <w:t>河堰镇</w:t>
      </w:r>
      <w:r>
        <w:rPr>
          <w:rFonts w:hint="eastAsia" w:ascii="宋体" w:hAnsi="宋体" w:eastAsia="宋体" w:cs="宋体"/>
          <w:color w:val="auto"/>
          <w:sz w:val="28"/>
          <w:szCs w:val="28"/>
          <w:lang w:val="en-US" w:eastAsia="zh-CN"/>
        </w:rPr>
        <w:t>督促肇事单位按照政策规定，对事故伤亡人员给予赔付救治，对伤者及伤亡人员家属进行精神安抚；相关部门按照各自职责进行指导。按照国家规定组织制定补助、补偿、抚慰、抚恤、安置和环境恢复等善后工作方案，并按照法定程序实施。对紧急征用的物资和调集的社会力量按照有关规定予以结算和补偿。保险机构及时开展相关理赔工作。肇事单位必须对风险隐患进行整改，防止风险源再次引发水污染事件，对涉及的污染场地进行修复，满足相关要求，并对造成社会损害的进行依法赔偿。</w:t>
      </w:r>
      <w:r>
        <w:rPr>
          <w:rFonts w:hint="eastAsia" w:ascii="宋体" w:hAnsi="宋体" w:eastAsia="宋体" w:cs="宋体"/>
          <w:color w:val="auto"/>
          <w:sz w:val="28"/>
          <w:szCs w:val="28"/>
          <w:lang w:val="en-US" w:eastAsia="zh-CN"/>
        </w:rPr>
        <w:br w:type="page"/>
      </w:r>
    </w:p>
    <w:p w14:paraId="52B46A7B">
      <w:pPr>
        <w:pStyle w:val="14"/>
        <w:keepNext w:val="0"/>
        <w:keepLines w:val="0"/>
        <w:pageBreakBefore w:val="0"/>
        <w:widowControl/>
        <w:kinsoku/>
        <w:wordWrap/>
        <w:overflowPunct/>
        <w:topLinePunct w:val="0"/>
        <w:autoSpaceDE/>
        <w:autoSpaceDN/>
        <w:bidi w:val="0"/>
        <w:adjustRightInd w:val="0"/>
        <w:snapToGrid/>
        <w:spacing w:beforeAutospacing="0" w:line="360" w:lineRule="auto"/>
        <w:ind w:firstLine="0" w:firstLineChars="0"/>
        <w:jc w:val="center"/>
        <w:textAlignment w:val="auto"/>
        <w:outlineLvl w:val="0"/>
        <w:rPr>
          <w:rStyle w:val="18"/>
          <w:rFonts w:hint="eastAsia" w:ascii="宋体" w:hAnsi="宋体" w:eastAsia="宋体" w:cs="宋体"/>
          <w:b/>
          <w:bCs/>
          <w:color w:val="000000"/>
          <w:sz w:val="32"/>
          <w:szCs w:val="32"/>
          <w:lang w:val="en-US" w:eastAsia="zh-CN"/>
        </w:rPr>
      </w:pPr>
      <w:bookmarkStart w:id="128" w:name="_Toc186124165"/>
      <w:bookmarkStart w:id="129" w:name="_Toc186124990"/>
      <w:bookmarkStart w:id="130" w:name="_Toc23311"/>
      <w:bookmarkStart w:id="131" w:name="_Toc10277"/>
      <w:r>
        <w:rPr>
          <w:rStyle w:val="18"/>
          <w:rFonts w:hint="eastAsia" w:cs="宋体"/>
          <w:b/>
          <w:bCs/>
          <w:color w:val="000000"/>
          <w:sz w:val="32"/>
          <w:szCs w:val="32"/>
          <w:lang w:val="en-US" w:eastAsia="zh-CN"/>
        </w:rPr>
        <w:t>6</w:t>
      </w:r>
      <w:r>
        <w:rPr>
          <w:rStyle w:val="18"/>
          <w:rFonts w:hint="eastAsia" w:ascii="宋体" w:hAnsi="宋体" w:eastAsia="宋体" w:cs="宋体"/>
          <w:b/>
          <w:bCs/>
          <w:color w:val="000000"/>
          <w:sz w:val="32"/>
          <w:szCs w:val="32"/>
          <w:lang w:val="en-US" w:eastAsia="zh-CN"/>
        </w:rPr>
        <w:t xml:space="preserve"> 应急保障</w:t>
      </w:r>
      <w:bookmarkEnd w:id="128"/>
      <w:bookmarkEnd w:id="129"/>
      <w:bookmarkEnd w:id="130"/>
      <w:bookmarkEnd w:id="131"/>
    </w:p>
    <w:p w14:paraId="0E52D8F1">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132" w:name="_Toc186123003"/>
      <w:bookmarkStart w:id="133" w:name="_Toc186124991"/>
      <w:bookmarkStart w:id="134" w:name="_Toc10752"/>
      <w:bookmarkStart w:id="135" w:name="_Toc186124166"/>
      <w:bookmarkStart w:id="136" w:name="_Toc13854"/>
      <w:r>
        <w:rPr>
          <w:rFonts w:hint="eastAsia" w:ascii="宋体" w:hAnsi="宋体" w:cs="宋体"/>
          <w:b/>
          <w:bCs/>
          <w:color w:val="000000"/>
          <w:sz w:val="28"/>
          <w:szCs w:val="28"/>
          <w:lang w:val="en-US" w:eastAsia="zh-CN"/>
        </w:rPr>
        <w:t>6</w:t>
      </w:r>
      <w:r>
        <w:rPr>
          <w:rFonts w:hint="eastAsia" w:ascii="宋体" w:hAnsi="宋体" w:eastAsia="宋体" w:cs="宋体"/>
          <w:b/>
          <w:bCs/>
          <w:color w:val="000000"/>
          <w:sz w:val="28"/>
          <w:szCs w:val="28"/>
          <w:lang w:val="en-US" w:eastAsia="zh-CN"/>
        </w:rPr>
        <w:t>.1 队伍保障</w:t>
      </w:r>
      <w:bookmarkEnd w:id="132"/>
      <w:bookmarkEnd w:id="133"/>
      <w:bookmarkEnd w:id="134"/>
      <w:bookmarkEnd w:id="135"/>
      <w:bookmarkEnd w:id="136"/>
    </w:p>
    <w:p w14:paraId="09F2925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cs="宋体"/>
          <w:color w:val="auto"/>
          <w:sz w:val="28"/>
          <w:szCs w:val="28"/>
          <w:lang w:val="en-US" w:eastAsia="zh-CN"/>
        </w:rPr>
        <w:t>河堰镇人民政府</w:t>
      </w:r>
      <w:r>
        <w:rPr>
          <w:rFonts w:hint="eastAsia" w:ascii="宋体" w:hAnsi="宋体" w:eastAsia="宋体" w:cs="宋体"/>
          <w:color w:val="auto"/>
          <w:sz w:val="28"/>
          <w:szCs w:val="28"/>
          <w:lang w:val="en-US" w:eastAsia="zh-CN"/>
        </w:rPr>
        <w:t>有关部门和单位要加强环境应急救援队伍能力建设。环境监测队伍、消防救援队伍、大型国有骨干企业应急救援队伍及其他相关方面应急救援队伍，要积极参加突发环境事件的应急监测、应急处置、调查处理等工作，提高响应能力和应对能力。要加强环境应急专家队伍管理，为制定突发环境事件应急处置方案、评估污染损害、开展调查处理等工作提供决策建议。</w:t>
      </w:r>
    </w:p>
    <w:p w14:paraId="669A0B6D">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137" w:name="_Toc25080"/>
      <w:bookmarkStart w:id="138" w:name="_Toc186124167"/>
      <w:bookmarkStart w:id="139" w:name="_Toc186124992"/>
      <w:bookmarkStart w:id="140" w:name="_Toc186123004"/>
      <w:bookmarkStart w:id="141" w:name="_Toc18002"/>
      <w:r>
        <w:rPr>
          <w:rFonts w:hint="eastAsia" w:ascii="宋体" w:hAnsi="宋体" w:cs="宋体"/>
          <w:b/>
          <w:bCs/>
          <w:color w:val="000000"/>
          <w:sz w:val="28"/>
          <w:szCs w:val="28"/>
          <w:lang w:val="en-US" w:eastAsia="zh-CN"/>
        </w:rPr>
        <w:t>6</w:t>
      </w:r>
      <w:r>
        <w:rPr>
          <w:rFonts w:hint="eastAsia" w:ascii="宋体" w:hAnsi="宋体" w:eastAsia="宋体" w:cs="宋体"/>
          <w:b/>
          <w:bCs/>
          <w:color w:val="000000"/>
          <w:sz w:val="28"/>
          <w:szCs w:val="28"/>
          <w:lang w:val="en-US" w:eastAsia="zh-CN"/>
        </w:rPr>
        <w:t>.2 物资、装备与资金保障</w:t>
      </w:r>
      <w:bookmarkEnd w:id="137"/>
      <w:bookmarkEnd w:id="138"/>
      <w:bookmarkEnd w:id="139"/>
      <w:bookmarkEnd w:id="140"/>
      <w:bookmarkEnd w:id="141"/>
    </w:p>
    <w:p w14:paraId="3E8014B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cs="宋体"/>
          <w:color w:val="auto"/>
          <w:sz w:val="28"/>
          <w:szCs w:val="28"/>
          <w:lang w:val="en-US" w:eastAsia="zh-CN"/>
        </w:rPr>
        <w:t>河堰镇人民政府</w:t>
      </w:r>
      <w:r>
        <w:rPr>
          <w:rFonts w:hint="eastAsia" w:ascii="宋体" w:hAnsi="宋体" w:eastAsia="宋体" w:cs="宋体"/>
          <w:color w:val="auto"/>
          <w:sz w:val="28"/>
          <w:szCs w:val="28"/>
          <w:lang w:val="en-US" w:eastAsia="zh-CN"/>
        </w:rPr>
        <w:t>有关部门和有关单位要结合辖区内环境风险特征，分级、分类储备污染源切断、污染物控制、污染物收集、污染物降解、安全防护、应急通信和指挥以及应急监测等物资装备，鼓励支持社会化应急储备，保障应急装备、应急物资、生活必需品的生产、存储、调拨、供给。要加强对环境应急装备和物资储备的动态管理，将环境应急物资储备统筹纳入应急物资库建设。区财政局要保障突发环境事件应对工作所需必要经费。</w:t>
      </w:r>
    </w:p>
    <w:p w14:paraId="7BF28199">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142" w:name="_Toc186124168"/>
      <w:bookmarkStart w:id="143" w:name="_Toc9432"/>
      <w:bookmarkStart w:id="144" w:name="_Toc186124993"/>
      <w:bookmarkStart w:id="145" w:name="_Toc186123005"/>
      <w:bookmarkStart w:id="146" w:name="_Toc17286"/>
      <w:r>
        <w:rPr>
          <w:rFonts w:hint="eastAsia" w:ascii="宋体" w:hAnsi="宋体" w:cs="宋体"/>
          <w:b/>
          <w:bCs/>
          <w:color w:val="000000"/>
          <w:sz w:val="28"/>
          <w:szCs w:val="28"/>
          <w:lang w:val="en-US" w:eastAsia="zh-CN"/>
        </w:rPr>
        <w:t>6</w:t>
      </w:r>
      <w:r>
        <w:rPr>
          <w:rFonts w:hint="eastAsia" w:ascii="宋体" w:hAnsi="宋体" w:eastAsia="宋体" w:cs="宋体"/>
          <w:b/>
          <w:bCs/>
          <w:color w:val="000000"/>
          <w:sz w:val="28"/>
          <w:szCs w:val="28"/>
          <w:lang w:val="en-US" w:eastAsia="zh-CN"/>
        </w:rPr>
        <w:t>.3 通信、交通与运输保障</w:t>
      </w:r>
      <w:bookmarkEnd w:id="142"/>
      <w:bookmarkEnd w:id="143"/>
      <w:bookmarkEnd w:id="144"/>
      <w:bookmarkEnd w:id="145"/>
      <w:bookmarkEnd w:id="146"/>
    </w:p>
    <w:p w14:paraId="7E4C5B87">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cs="宋体"/>
          <w:color w:val="auto"/>
          <w:sz w:val="28"/>
          <w:szCs w:val="28"/>
          <w:lang w:val="en-US" w:eastAsia="zh-CN"/>
        </w:rPr>
        <w:t>河堰镇人民政府</w:t>
      </w:r>
      <w:r>
        <w:rPr>
          <w:rFonts w:hint="eastAsia" w:ascii="宋体" w:hAnsi="宋体" w:eastAsia="宋体" w:cs="宋体"/>
          <w:color w:val="auto"/>
          <w:sz w:val="28"/>
          <w:szCs w:val="28"/>
          <w:lang w:val="en-US" w:eastAsia="zh-CN"/>
        </w:rPr>
        <w:t>要建立健全突发环境事件应急通信保障体系，确保应急期间通信联络和信息传递需要。</w:t>
      </w:r>
    </w:p>
    <w:p w14:paraId="47BBF606">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cs="宋体"/>
          <w:color w:val="auto"/>
          <w:sz w:val="28"/>
          <w:szCs w:val="28"/>
          <w:lang w:val="en-US" w:eastAsia="zh-CN"/>
        </w:rPr>
        <w:t>河堰镇人民政府协助</w:t>
      </w:r>
      <w:r>
        <w:rPr>
          <w:rFonts w:hint="eastAsia" w:ascii="宋体" w:hAnsi="宋体" w:eastAsia="宋体" w:cs="宋体"/>
          <w:color w:val="auto"/>
          <w:sz w:val="28"/>
          <w:szCs w:val="28"/>
          <w:lang w:val="en-US" w:eastAsia="zh-CN"/>
        </w:rPr>
        <w:t>区交通运输委要健全公路、水运、铁路紧急运输保障体系，保障应急响应所需人员、物资、装备、器材等的运输。</w:t>
      </w:r>
    </w:p>
    <w:p w14:paraId="6BB387FA">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cs="宋体"/>
          <w:color w:val="auto"/>
          <w:sz w:val="28"/>
          <w:szCs w:val="28"/>
          <w:lang w:val="en-US" w:eastAsia="zh-CN"/>
        </w:rPr>
        <w:t>河堰镇人民政府协助</w:t>
      </w:r>
      <w:r>
        <w:rPr>
          <w:rFonts w:hint="eastAsia" w:ascii="宋体" w:hAnsi="宋体" w:eastAsia="宋体" w:cs="宋体"/>
          <w:color w:val="auto"/>
          <w:sz w:val="28"/>
          <w:szCs w:val="28"/>
          <w:lang w:val="en-US" w:eastAsia="zh-CN"/>
        </w:rPr>
        <w:t>区公安局加强应急交通管理，保障运送伤病员、应急救援人员、物资、装备、器材车辆的优先通行。</w:t>
      </w:r>
    </w:p>
    <w:p w14:paraId="35B170C4">
      <w:pPr>
        <w:pStyle w:val="5"/>
        <w:keepNext/>
        <w:keepLines/>
        <w:pageBreakBefore w:val="0"/>
        <w:widowControl/>
        <w:kinsoku/>
        <w:wordWrap/>
        <w:overflowPunct/>
        <w:topLinePunct w:val="0"/>
        <w:autoSpaceDE/>
        <w:autoSpaceDN/>
        <w:bidi w:val="0"/>
        <w:adjustRightInd/>
        <w:snapToGrid/>
        <w:spacing w:before="0" w:line="360" w:lineRule="auto"/>
        <w:ind w:firstLine="0" w:firstLineChars="0"/>
        <w:jc w:val="left"/>
        <w:textAlignment w:val="auto"/>
        <w:rPr>
          <w:rFonts w:hint="eastAsia" w:ascii="宋体" w:hAnsi="宋体" w:eastAsia="宋体" w:cs="宋体"/>
          <w:b/>
          <w:bCs/>
          <w:color w:val="000000"/>
          <w:sz w:val="28"/>
          <w:szCs w:val="28"/>
          <w:lang w:val="en-US" w:eastAsia="zh-CN"/>
        </w:rPr>
      </w:pPr>
      <w:bookmarkStart w:id="147" w:name="_Toc16901"/>
      <w:bookmarkStart w:id="148" w:name="_Toc186123006"/>
      <w:bookmarkStart w:id="149" w:name="_Toc186124169"/>
      <w:bookmarkStart w:id="150" w:name="_Toc31802"/>
      <w:bookmarkStart w:id="151" w:name="_Toc186124994"/>
      <w:r>
        <w:rPr>
          <w:rFonts w:hint="eastAsia" w:ascii="宋体" w:hAnsi="宋体" w:cs="宋体"/>
          <w:b/>
          <w:bCs/>
          <w:color w:val="000000"/>
          <w:sz w:val="28"/>
          <w:szCs w:val="28"/>
          <w:lang w:val="en-US" w:eastAsia="zh-CN"/>
        </w:rPr>
        <w:t>6</w:t>
      </w:r>
      <w:r>
        <w:rPr>
          <w:rFonts w:hint="eastAsia" w:ascii="宋体" w:hAnsi="宋体" w:eastAsia="宋体" w:cs="宋体"/>
          <w:b/>
          <w:bCs/>
          <w:color w:val="000000"/>
          <w:sz w:val="28"/>
          <w:szCs w:val="28"/>
          <w:lang w:val="en-US" w:eastAsia="zh-CN"/>
        </w:rPr>
        <w:t>.4 技术保障</w:t>
      </w:r>
      <w:bookmarkEnd w:id="147"/>
      <w:bookmarkEnd w:id="148"/>
      <w:bookmarkEnd w:id="149"/>
      <w:bookmarkEnd w:id="150"/>
      <w:bookmarkEnd w:id="151"/>
    </w:p>
    <w:p w14:paraId="3589CC3F">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cs="宋体"/>
          <w:color w:val="auto"/>
          <w:sz w:val="28"/>
          <w:szCs w:val="28"/>
          <w:lang w:val="en-US" w:eastAsia="zh-CN"/>
        </w:rPr>
        <w:t>河堰镇人民政府</w:t>
      </w:r>
      <w:r>
        <w:rPr>
          <w:rFonts w:hint="eastAsia" w:ascii="宋体" w:hAnsi="宋体" w:eastAsia="宋体" w:cs="宋体"/>
          <w:color w:val="auto"/>
          <w:sz w:val="28"/>
          <w:szCs w:val="28"/>
          <w:lang w:val="en-US" w:eastAsia="zh-CN"/>
        </w:rPr>
        <w:t>要加强环境应急指挥系统的优化，依托环境应急指挥技术平台，实现信息综合集成、分析处理、污染损害评估的智能化和数字化。财政</w:t>
      </w:r>
      <w:r>
        <w:rPr>
          <w:rFonts w:hint="eastAsia" w:cs="宋体"/>
          <w:color w:val="auto"/>
          <w:sz w:val="28"/>
          <w:szCs w:val="28"/>
          <w:lang w:val="en-US" w:eastAsia="zh-CN"/>
        </w:rPr>
        <w:t>部门</w:t>
      </w:r>
      <w:r>
        <w:rPr>
          <w:rFonts w:hint="eastAsia" w:ascii="宋体" w:hAnsi="宋体" w:eastAsia="宋体" w:cs="宋体"/>
          <w:color w:val="auto"/>
          <w:sz w:val="28"/>
          <w:szCs w:val="28"/>
          <w:lang w:val="en-US" w:eastAsia="zh-CN"/>
        </w:rPr>
        <w:t>及相关部门要支持先进技术和装备的研发。同时，</w:t>
      </w:r>
      <w:r>
        <w:rPr>
          <w:rFonts w:hint="eastAsia" w:cs="宋体"/>
          <w:color w:val="auto"/>
          <w:sz w:val="28"/>
          <w:szCs w:val="28"/>
          <w:lang w:val="en-US" w:eastAsia="zh-CN"/>
        </w:rPr>
        <w:t>河堰镇人民政府应急</w:t>
      </w:r>
      <w:r>
        <w:rPr>
          <w:rFonts w:hint="eastAsia" w:ascii="宋体" w:hAnsi="宋体" w:eastAsia="宋体" w:cs="宋体"/>
          <w:color w:val="auto"/>
          <w:sz w:val="28"/>
          <w:szCs w:val="28"/>
          <w:lang w:val="en-US" w:eastAsia="zh-CN"/>
        </w:rPr>
        <w:t>指挥部各成员单位应当根据职责在部门应急预案中纳入预防引发环境污染事故及次生、衍生突发环境事件的有关内容，建立完善有关防范水环境污染的基本信息。主要包括：</w:t>
      </w:r>
    </w:p>
    <w:p w14:paraId="43E95F5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（1）流域水系河流数量和分布图，水文参数、水质现状、流域人口、饮用水源保护区等基本信息。</w:t>
      </w:r>
    </w:p>
    <w:p w14:paraId="55DDF149">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（2）工业和农业生产、使用、贮存、销售、运输的环境风险物质的种类、数量、贮存位置及防范措施。</w:t>
      </w:r>
    </w:p>
    <w:p w14:paraId="193CD32D">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（3）工业、生活、畜禽养殖等污染源的排放、数量及分布情况。</w:t>
      </w:r>
    </w:p>
    <w:p w14:paraId="56266D2E">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（4）要落实“找空间、定方案、抓演练”三个要素，编制流域“一河一策一图”环境应急响应方案，提前做好技术保</w:t>
      </w:r>
      <w:r>
        <w:rPr>
          <w:rFonts w:hint="eastAsia" w:cs="宋体"/>
          <w:color w:val="auto"/>
          <w:sz w:val="28"/>
          <w:szCs w:val="28"/>
          <w:lang w:val="en-US" w:eastAsia="zh-CN"/>
        </w:rPr>
        <w:t>障和</w:t>
      </w:r>
      <w:r>
        <w:rPr>
          <w:rFonts w:hint="eastAsia" w:ascii="宋体" w:hAnsi="宋体" w:eastAsia="宋体" w:cs="宋体"/>
          <w:color w:val="auto"/>
          <w:sz w:val="28"/>
          <w:szCs w:val="28"/>
          <w:lang w:val="en-US" w:eastAsia="zh-CN"/>
        </w:rPr>
        <w:t>应急准备。</w:t>
      </w:r>
    </w:p>
    <w:p w14:paraId="1CCA5992">
      <w:pPr>
        <w:pStyle w:val="7"/>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参与应急处置的有关单位要开展突发环境污染的污染分析、扩散模型和风险评估研究工作，完善各类应急预案，确保应急处置科学、规范、安全。</w:t>
      </w:r>
    </w:p>
    <w:p w14:paraId="5B863A80">
      <w:pPr>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br w:type="page"/>
      </w:r>
    </w:p>
    <w:p w14:paraId="1BE5575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center"/>
        <w:textAlignment w:val="auto"/>
        <w:outlineLvl w:val="0"/>
        <w:rPr>
          <w:rFonts w:hint="eastAsia" w:ascii="宋体" w:hAnsi="宋体" w:eastAsia="宋体" w:cs="宋体"/>
          <w:b/>
          <w:bCs/>
          <w:color w:val="auto"/>
          <w:kern w:val="2"/>
          <w:sz w:val="32"/>
          <w:szCs w:val="32"/>
          <w:lang w:val="en-US" w:eastAsia="zh-CN" w:bidi="ar-SA"/>
        </w:rPr>
      </w:pPr>
      <w:bookmarkStart w:id="152" w:name="_Toc1714"/>
      <w:bookmarkStart w:id="153" w:name="_Toc11776"/>
      <w:bookmarkStart w:id="154" w:name="_Toc21493"/>
      <w:r>
        <w:rPr>
          <w:rFonts w:hint="eastAsia" w:ascii="宋体" w:hAnsi="宋体" w:cs="宋体"/>
          <w:b/>
          <w:bCs/>
          <w:color w:val="auto"/>
          <w:kern w:val="2"/>
          <w:sz w:val="32"/>
          <w:szCs w:val="32"/>
          <w:lang w:val="en-US" w:eastAsia="zh-CN" w:bidi="ar-SA"/>
        </w:rPr>
        <w:t>7</w:t>
      </w:r>
      <w:r>
        <w:rPr>
          <w:rFonts w:hint="eastAsia" w:ascii="宋体" w:hAnsi="宋体" w:eastAsia="宋体" w:cs="宋体"/>
          <w:b/>
          <w:bCs/>
          <w:color w:val="auto"/>
          <w:kern w:val="2"/>
          <w:sz w:val="32"/>
          <w:szCs w:val="32"/>
          <w:lang w:val="en-US" w:eastAsia="zh-CN" w:bidi="ar-SA"/>
        </w:rPr>
        <w:t xml:space="preserve"> 监督管理</w:t>
      </w:r>
      <w:bookmarkEnd w:id="152"/>
      <w:bookmarkEnd w:id="153"/>
      <w:bookmarkEnd w:id="154"/>
    </w:p>
    <w:p w14:paraId="10F32BB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outlineLvl w:val="1"/>
        <w:rPr>
          <w:rFonts w:hint="eastAsia" w:ascii="宋体" w:hAnsi="宋体" w:eastAsia="宋体" w:cs="宋体"/>
          <w:b/>
          <w:bCs/>
          <w:color w:val="auto"/>
          <w:kern w:val="2"/>
          <w:sz w:val="32"/>
          <w:szCs w:val="32"/>
          <w:lang w:val="en-US" w:eastAsia="zh-CN" w:bidi="ar-SA"/>
        </w:rPr>
      </w:pPr>
      <w:bookmarkStart w:id="155" w:name="_Toc20672"/>
      <w:bookmarkStart w:id="156" w:name="_Toc20048"/>
      <w:bookmarkStart w:id="157" w:name="_Toc14704"/>
      <w:r>
        <w:rPr>
          <w:rFonts w:hint="eastAsia" w:ascii="宋体" w:hAnsi="宋体" w:cs="宋体"/>
          <w:b/>
          <w:bCs/>
          <w:color w:val="auto"/>
          <w:kern w:val="2"/>
          <w:sz w:val="32"/>
          <w:szCs w:val="32"/>
          <w:lang w:val="en-US" w:eastAsia="zh-CN" w:bidi="ar-SA"/>
        </w:rPr>
        <w:t>7</w:t>
      </w:r>
      <w:r>
        <w:rPr>
          <w:rFonts w:hint="eastAsia" w:ascii="宋体" w:hAnsi="宋体" w:eastAsia="宋体" w:cs="宋体"/>
          <w:b/>
          <w:bCs/>
          <w:color w:val="auto"/>
          <w:kern w:val="2"/>
          <w:sz w:val="32"/>
          <w:szCs w:val="32"/>
          <w:lang w:val="en-US" w:eastAsia="zh-CN" w:bidi="ar-SA"/>
        </w:rPr>
        <w:t>.1 应急预案演练</w:t>
      </w:r>
      <w:bookmarkEnd w:id="155"/>
      <w:bookmarkEnd w:id="156"/>
      <w:bookmarkEnd w:id="157"/>
    </w:p>
    <w:p w14:paraId="6DAE6B5E">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为提高环境风险防范意识，增强环境应急处置能力，</w:t>
      </w:r>
      <w:r>
        <w:rPr>
          <w:rFonts w:hint="eastAsia" w:ascii="宋体" w:hAnsi="宋体" w:cs="宋体"/>
          <w:color w:val="auto"/>
          <w:sz w:val="28"/>
          <w:szCs w:val="28"/>
          <w:lang w:val="en-US" w:eastAsia="zh-CN"/>
        </w:rPr>
        <w:t>河堰镇</w:t>
      </w:r>
      <w:r>
        <w:rPr>
          <w:rFonts w:hint="eastAsia" w:ascii="宋体" w:hAnsi="宋体" w:eastAsia="宋体" w:cs="宋体"/>
          <w:color w:val="auto"/>
          <w:sz w:val="28"/>
          <w:szCs w:val="28"/>
          <w:lang w:val="en-US" w:eastAsia="zh-CN"/>
        </w:rPr>
        <w:t>应</w:t>
      </w:r>
      <w:r>
        <w:rPr>
          <w:rFonts w:hint="default" w:ascii="宋体" w:hAnsi="宋体" w:eastAsia="宋体" w:cs="宋体"/>
          <w:color w:val="auto"/>
          <w:sz w:val="28"/>
          <w:szCs w:val="28"/>
          <w:lang w:val="en-US" w:eastAsia="zh-CN"/>
        </w:rPr>
        <w:t>定期开展环境应急预案的实际演练活动。演练活动将根据不同事项制定相应的紧急预案，结合实际作出计划，实施演练，其规定如下：</w:t>
      </w:r>
    </w:p>
    <w:p w14:paraId="4873CAD0">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1）应急演</w:t>
      </w:r>
      <w:r>
        <w:rPr>
          <w:rFonts w:hint="eastAsia" w:ascii="宋体" w:hAnsi="宋体" w:eastAsia="宋体" w:cs="宋体"/>
          <w:color w:val="auto"/>
          <w:sz w:val="28"/>
          <w:szCs w:val="28"/>
          <w:lang w:val="en-US" w:eastAsia="zh-CN"/>
        </w:rPr>
        <w:t>练</w:t>
      </w:r>
      <w:r>
        <w:rPr>
          <w:rFonts w:hint="default" w:ascii="宋体" w:hAnsi="宋体" w:eastAsia="宋体" w:cs="宋体"/>
          <w:color w:val="auto"/>
          <w:sz w:val="28"/>
          <w:szCs w:val="28"/>
          <w:lang w:val="en-US" w:eastAsia="zh-CN"/>
        </w:rPr>
        <w:t>至少每年一次；</w:t>
      </w:r>
    </w:p>
    <w:p w14:paraId="3505FD72">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2）</w:t>
      </w:r>
      <w:r>
        <w:rPr>
          <w:rFonts w:hint="eastAsia" w:ascii="宋体" w:hAnsi="宋体" w:eastAsia="宋体" w:cs="宋体"/>
          <w:color w:val="auto"/>
          <w:sz w:val="28"/>
          <w:szCs w:val="28"/>
          <w:lang w:val="en-US" w:eastAsia="zh-CN"/>
        </w:rPr>
        <w:t>演练</w:t>
      </w:r>
      <w:r>
        <w:rPr>
          <w:rFonts w:hint="default" w:ascii="宋体" w:hAnsi="宋体" w:eastAsia="宋体" w:cs="宋体"/>
          <w:color w:val="auto"/>
          <w:sz w:val="28"/>
          <w:szCs w:val="28"/>
          <w:lang w:val="en-US" w:eastAsia="zh-CN"/>
        </w:rPr>
        <w:t>事项按照应急预案的编制，逐项</w:t>
      </w:r>
      <w:r>
        <w:rPr>
          <w:rFonts w:hint="eastAsia" w:ascii="宋体" w:hAnsi="宋体" w:eastAsia="宋体" w:cs="宋体"/>
          <w:color w:val="auto"/>
          <w:sz w:val="28"/>
          <w:szCs w:val="28"/>
          <w:lang w:val="en-US" w:eastAsia="zh-CN"/>
        </w:rPr>
        <w:t>反复地演练</w:t>
      </w:r>
      <w:r>
        <w:rPr>
          <w:rFonts w:hint="default" w:ascii="宋体" w:hAnsi="宋体" w:eastAsia="宋体" w:cs="宋体"/>
          <w:color w:val="auto"/>
          <w:sz w:val="28"/>
          <w:szCs w:val="28"/>
          <w:lang w:val="en-US" w:eastAsia="zh-CN"/>
        </w:rPr>
        <w:t>；</w:t>
      </w:r>
    </w:p>
    <w:p w14:paraId="4F91B76C">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3）明确参加演练的人员，做到人人参加，人人熟练；</w:t>
      </w:r>
    </w:p>
    <w:p w14:paraId="2644793F">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4）组织辖区内企业开展联合应急演练；</w:t>
      </w:r>
    </w:p>
    <w:p w14:paraId="05A41F61">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4）每一次安排</w:t>
      </w:r>
      <w:r>
        <w:rPr>
          <w:rFonts w:hint="eastAsia" w:ascii="宋体" w:hAnsi="宋体" w:eastAsia="宋体" w:cs="宋体"/>
          <w:color w:val="auto"/>
          <w:sz w:val="28"/>
          <w:szCs w:val="28"/>
          <w:lang w:val="en-US" w:eastAsia="zh-CN"/>
        </w:rPr>
        <w:t>专人</w:t>
      </w:r>
      <w:r>
        <w:rPr>
          <w:rFonts w:hint="default" w:ascii="宋体" w:hAnsi="宋体" w:eastAsia="宋体" w:cs="宋体"/>
          <w:color w:val="auto"/>
          <w:sz w:val="28"/>
          <w:szCs w:val="28"/>
          <w:lang w:val="en-US" w:eastAsia="zh-CN"/>
        </w:rPr>
        <w:t>做好演练文字记录、图</w:t>
      </w:r>
      <w:r>
        <w:rPr>
          <w:rFonts w:hint="eastAsia" w:ascii="宋体" w:hAnsi="宋体" w:cs="宋体"/>
          <w:color w:val="auto"/>
          <w:sz w:val="28"/>
          <w:szCs w:val="28"/>
          <w:lang w:val="en-US" w:eastAsia="zh-CN"/>
        </w:rPr>
        <w:t>片和</w:t>
      </w:r>
      <w:r>
        <w:rPr>
          <w:rFonts w:hint="default" w:ascii="宋体" w:hAnsi="宋体" w:eastAsia="宋体" w:cs="宋体"/>
          <w:color w:val="auto"/>
          <w:sz w:val="28"/>
          <w:szCs w:val="28"/>
          <w:lang w:val="en-US" w:eastAsia="zh-CN"/>
        </w:rPr>
        <w:t>音像资料，并存档；</w:t>
      </w:r>
    </w:p>
    <w:p w14:paraId="7FAA76BC">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5）每一事项演练后，对演练过程进行评估、总结，以便再次演练时进行修正，为完善预案提供依据。</w:t>
      </w:r>
    </w:p>
    <w:p w14:paraId="00225B1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outlineLvl w:val="1"/>
        <w:rPr>
          <w:rFonts w:hint="eastAsia" w:ascii="宋体" w:hAnsi="宋体" w:eastAsia="宋体" w:cs="宋体"/>
          <w:b/>
          <w:bCs/>
          <w:color w:val="auto"/>
          <w:kern w:val="2"/>
          <w:sz w:val="32"/>
          <w:szCs w:val="32"/>
          <w:lang w:val="en-US" w:eastAsia="zh-CN" w:bidi="ar-SA"/>
        </w:rPr>
      </w:pPr>
      <w:bookmarkStart w:id="158" w:name="_Toc11370"/>
      <w:bookmarkStart w:id="159" w:name="_Toc9284"/>
      <w:bookmarkStart w:id="160" w:name="_Toc12907"/>
      <w:bookmarkStart w:id="161" w:name="_Toc29035"/>
      <w:bookmarkStart w:id="162" w:name="_Toc8627"/>
      <w:r>
        <w:rPr>
          <w:rFonts w:hint="eastAsia" w:ascii="宋体" w:hAnsi="宋体" w:cs="宋体"/>
          <w:b/>
          <w:bCs/>
          <w:color w:val="auto"/>
          <w:kern w:val="2"/>
          <w:sz w:val="32"/>
          <w:szCs w:val="32"/>
          <w:lang w:val="en-US" w:eastAsia="zh-CN" w:bidi="ar-SA"/>
        </w:rPr>
        <w:t>7</w:t>
      </w:r>
      <w:r>
        <w:rPr>
          <w:rFonts w:hint="eastAsia" w:ascii="宋体" w:hAnsi="宋体" w:eastAsia="宋体" w:cs="宋体"/>
          <w:b/>
          <w:bCs/>
          <w:color w:val="auto"/>
          <w:kern w:val="2"/>
          <w:sz w:val="32"/>
          <w:szCs w:val="32"/>
          <w:lang w:val="en-US" w:eastAsia="zh-CN" w:bidi="ar-SA"/>
        </w:rPr>
        <w:t>.2 宣传</w:t>
      </w:r>
      <w:bookmarkEnd w:id="158"/>
      <w:bookmarkEnd w:id="159"/>
      <w:bookmarkEnd w:id="160"/>
      <w:bookmarkEnd w:id="161"/>
      <w:bookmarkEnd w:id="162"/>
    </w:p>
    <w:p w14:paraId="0FA4DBA0">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重庆市开州区</w:t>
      </w:r>
      <w:r>
        <w:rPr>
          <w:rFonts w:hint="eastAsia" w:ascii="宋体" w:hAnsi="宋体" w:cs="宋体"/>
          <w:color w:val="auto"/>
          <w:sz w:val="28"/>
          <w:szCs w:val="28"/>
          <w:lang w:val="en-US" w:eastAsia="zh-CN"/>
        </w:rPr>
        <w:t>河堰镇</w:t>
      </w:r>
      <w:r>
        <w:rPr>
          <w:rFonts w:hint="eastAsia" w:ascii="宋体" w:hAnsi="宋体" w:eastAsia="宋体" w:cs="宋体"/>
          <w:color w:val="auto"/>
          <w:sz w:val="28"/>
          <w:szCs w:val="28"/>
          <w:lang w:val="en-US" w:eastAsia="zh-CN"/>
        </w:rPr>
        <w:t>辖区内各企业应向员工说明本单位所涉及的环境风险物质的危险特性及发生事件可能造成的危害。广泛宣传突发环境事件有关法律法规和预防、避险、避灾、自救、互救的应急常识。增强职工应对突发环境事件的知识，增强应对突发环境事件的能力。</w:t>
      </w:r>
    </w:p>
    <w:p w14:paraId="230A254F">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掌握预案、应用预案处置突发环境事件。</w:t>
      </w:r>
    </w:p>
    <w:p w14:paraId="5FCA732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outlineLvl w:val="1"/>
        <w:rPr>
          <w:rFonts w:hint="eastAsia" w:ascii="宋体" w:hAnsi="宋体" w:eastAsia="宋体" w:cs="宋体"/>
          <w:b/>
          <w:bCs/>
          <w:color w:val="auto"/>
          <w:kern w:val="2"/>
          <w:sz w:val="32"/>
          <w:szCs w:val="32"/>
          <w:lang w:val="en-US" w:eastAsia="zh-CN" w:bidi="ar-SA"/>
        </w:rPr>
      </w:pPr>
      <w:bookmarkStart w:id="163" w:name="_Toc27877"/>
      <w:bookmarkStart w:id="164" w:name="_Toc6999"/>
      <w:bookmarkStart w:id="165" w:name="_Toc23169"/>
      <w:bookmarkStart w:id="166" w:name="_Toc26331"/>
      <w:r>
        <w:rPr>
          <w:rFonts w:hint="eastAsia" w:ascii="宋体" w:hAnsi="宋体" w:cs="宋体"/>
          <w:b/>
          <w:bCs/>
          <w:color w:val="auto"/>
          <w:kern w:val="2"/>
          <w:sz w:val="32"/>
          <w:szCs w:val="32"/>
          <w:lang w:val="en-US" w:eastAsia="zh-CN" w:bidi="ar-SA"/>
        </w:rPr>
        <w:t>7</w:t>
      </w:r>
      <w:r>
        <w:rPr>
          <w:rFonts w:hint="eastAsia" w:ascii="宋体" w:hAnsi="宋体" w:eastAsia="宋体" w:cs="宋体"/>
          <w:b/>
          <w:bCs/>
          <w:color w:val="auto"/>
          <w:kern w:val="2"/>
          <w:sz w:val="32"/>
          <w:szCs w:val="32"/>
          <w:lang w:val="en-US" w:eastAsia="zh-CN" w:bidi="ar-SA"/>
        </w:rPr>
        <w:t>.3 培训</w:t>
      </w:r>
      <w:bookmarkEnd w:id="163"/>
      <w:bookmarkEnd w:id="164"/>
      <w:bookmarkEnd w:id="165"/>
      <w:bookmarkEnd w:id="166"/>
    </w:p>
    <w:p w14:paraId="6A5368E8">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培训基本任务是：在突发环境事件情况下的快速抢险堵源，及时营救伤员、正确指导和帮助群众防护与撤离、有效消除环境危害，开展现场急救和伤员转送等技能和应急反应综合素质，有效降低突发环境事件对周边环境的危害，减少突发环境事件造成的损失。</w:t>
      </w:r>
    </w:p>
    <w:p w14:paraId="21A89A8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outlineLvl w:val="1"/>
        <w:rPr>
          <w:rFonts w:hint="default" w:ascii="宋体" w:hAnsi="宋体" w:eastAsia="宋体" w:cs="宋体"/>
          <w:b/>
          <w:bCs/>
          <w:color w:val="auto"/>
          <w:kern w:val="2"/>
          <w:sz w:val="32"/>
          <w:szCs w:val="32"/>
          <w:lang w:val="en-US" w:eastAsia="zh-CN" w:bidi="ar-SA"/>
        </w:rPr>
      </w:pPr>
      <w:bookmarkStart w:id="167" w:name="_Toc26469"/>
      <w:bookmarkStart w:id="168" w:name="_Toc12573"/>
      <w:bookmarkStart w:id="169" w:name="_Toc29430"/>
      <w:bookmarkStart w:id="170" w:name="_Toc5163"/>
      <w:r>
        <w:rPr>
          <w:rFonts w:hint="eastAsia" w:ascii="宋体" w:hAnsi="宋体" w:cs="宋体"/>
          <w:b/>
          <w:bCs/>
          <w:color w:val="auto"/>
          <w:kern w:val="2"/>
          <w:sz w:val="32"/>
          <w:szCs w:val="32"/>
          <w:lang w:val="en-US" w:eastAsia="zh-CN" w:bidi="ar-SA"/>
        </w:rPr>
        <w:t>7</w:t>
      </w:r>
      <w:r>
        <w:rPr>
          <w:rFonts w:hint="eastAsia" w:ascii="宋体" w:hAnsi="宋体" w:eastAsia="宋体" w:cs="宋体"/>
          <w:b/>
          <w:bCs/>
          <w:color w:val="auto"/>
          <w:kern w:val="2"/>
          <w:sz w:val="32"/>
          <w:szCs w:val="32"/>
          <w:lang w:val="en-US" w:eastAsia="zh-CN" w:bidi="ar-SA"/>
        </w:rPr>
        <w:t>.4 预案管理</w:t>
      </w:r>
      <w:bookmarkEnd w:id="167"/>
      <w:bookmarkEnd w:id="168"/>
      <w:bookmarkEnd w:id="169"/>
      <w:bookmarkEnd w:id="170"/>
    </w:p>
    <w:p w14:paraId="4BDD9D85">
      <w:pPr>
        <w:keepNext w:val="0"/>
        <w:keepLines w:val="0"/>
        <w:pageBreakBefore w:val="0"/>
        <w:widowControl w:val="0"/>
        <w:kinsoku/>
        <w:wordWrap/>
        <w:overflowPunct/>
        <w:topLinePunct w:val="0"/>
        <w:autoSpaceDE/>
        <w:autoSpaceDN/>
        <w:bidi w:val="0"/>
        <w:adjustRightInd/>
        <w:snapToGrid/>
        <w:spacing w:line="360" w:lineRule="auto"/>
        <w:ind w:left="0" w:firstLine="562" w:firstLineChars="200"/>
        <w:textAlignment w:val="auto"/>
        <w:outlineLvl w:val="2"/>
        <w:rPr>
          <w:rFonts w:hint="eastAsia" w:ascii="宋体" w:hAnsi="宋体" w:eastAsia="宋体" w:cs="宋体"/>
          <w:b/>
          <w:bCs/>
          <w:color w:val="auto"/>
          <w:kern w:val="2"/>
          <w:sz w:val="28"/>
          <w:szCs w:val="28"/>
          <w:lang w:val="en-US" w:eastAsia="zh-CN" w:bidi="ar-SA"/>
        </w:rPr>
      </w:pPr>
      <w:r>
        <w:rPr>
          <w:rFonts w:hint="eastAsia" w:ascii="宋体" w:hAnsi="宋体" w:cs="宋体"/>
          <w:b/>
          <w:bCs/>
          <w:color w:val="auto"/>
          <w:kern w:val="2"/>
          <w:sz w:val="28"/>
          <w:szCs w:val="28"/>
          <w:lang w:val="en-US" w:eastAsia="zh-CN" w:bidi="ar-SA"/>
        </w:rPr>
        <w:t>7</w:t>
      </w:r>
      <w:r>
        <w:rPr>
          <w:rFonts w:hint="eastAsia" w:ascii="宋体" w:hAnsi="宋体" w:eastAsia="宋体" w:cs="宋体"/>
          <w:b/>
          <w:bCs/>
          <w:color w:val="auto"/>
          <w:kern w:val="2"/>
          <w:sz w:val="28"/>
          <w:szCs w:val="28"/>
          <w:lang w:val="en-US" w:eastAsia="zh-CN" w:bidi="ar-SA"/>
        </w:rPr>
        <w:t>.4.1 预案的制定和解释</w:t>
      </w:r>
    </w:p>
    <w:p w14:paraId="76AF6923">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河堰镇</w:t>
      </w:r>
      <w:r>
        <w:rPr>
          <w:rFonts w:hint="eastAsia" w:ascii="宋体" w:hAnsi="宋体" w:eastAsia="宋体" w:cs="宋体"/>
          <w:color w:val="auto"/>
          <w:sz w:val="28"/>
          <w:szCs w:val="28"/>
          <w:lang w:val="en-US" w:eastAsia="zh-CN"/>
        </w:rPr>
        <w:t>通过对辖区</w:t>
      </w:r>
      <w:r>
        <w:rPr>
          <w:rFonts w:hint="default" w:ascii="宋体" w:hAnsi="宋体" w:eastAsia="宋体" w:cs="宋体"/>
          <w:color w:val="auto"/>
          <w:sz w:val="28"/>
          <w:szCs w:val="28"/>
          <w:lang w:val="en-US" w:eastAsia="zh-CN"/>
        </w:rPr>
        <w:t>重点环境风险源定期开展预案评估工作，按有关规定及时组织预案修订工作</w:t>
      </w:r>
      <w:r>
        <w:rPr>
          <w:rFonts w:hint="eastAsia" w:ascii="宋体" w:hAnsi="宋体" w:eastAsia="宋体" w:cs="宋体"/>
          <w:color w:val="auto"/>
          <w:sz w:val="28"/>
          <w:szCs w:val="28"/>
          <w:lang w:val="en-US" w:eastAsia="zh-CN"/>
        </w:rPr>
        <w:t>，原则上不超过三年</w:t>
      </w:r>
      <w:r>
        <w:rPr>
          <w:rFonts w:hint="default" w:ascii="宋体" w:hAnsi="宋体" w:eastAsia="宋体" w:cs="宋体"/>
          <w:color w:val="auto"/>
          <w:sz w:val="28"/>
          <w:szCs w:val="28"/>
          <w:lang w:val="en-US" w:eastAsia="zh-CN"/>
        </w:rPr>
        <w:t>。</w:t>
      </w:r>
    </w:p>
    <w:p w14:paraId="6CA67250">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t>本预案由</w:t>
      </w:r>
      <w:r>
        <w:rPr>
          <w:rFonts w:hint="eastAsia" w:ascii="宋体" w:hAnsi="宋体" w:cs="宋体"/>
          <w:color w:val="auto"/>
          <w:sz w:val="28"/>
          <w:szCs w:val="28"/>
          <w:lang w:val="en-US" w:eastAsia="zh-CN"/>
        </w:rPr>
        <w:t>重庆市开州区河堰镇人民政府</w:t>
      </w:r>
      <w:r>
        <w:rPr>
          <w:rFonts w:hint="default" w:ascii="宋体" w:hAnsi="宋体" w:eastAsia="宋体" w:cs="宋体"/>
          <w:color w:val="auto"/>
          <w:sz w:val="28"/>
          <w:szCs w:val="28"/>
          <w:lang w:val="en-US" w:eastAsia="zh-CN"/>
        </w:rPr>
        <w:t>负责解释</w:t>
      </w:r>
    </w:p>
    <w:p w14:paraId="1B0B8D2D">
      <w:pPr>
        <w:keepNext w:val="0"/>
        <w:keepLines w:val="0"/>
        <w:pageBreakBefore w:val="0"/>
        <w:widowControl w:val="0"/>
        <w:kinsoku/>
        <w:wordWrap/>
        <w:overflowPunct/>
        <w:topLinePunct w:val="0"/>
        <w:autoSpaceDE/>
        <w:autoSpaceDN/>
        <w:bidi w:val="0"/>
        <w:adjustRightInd/>
        <w:snapToGrid/>
        <w:spacing w:line="360" w:lineRule="auto"/>
        <w:ind w:left="0" w:firstLine="562" w:firstLineChars="200"/>
        <w:textAlignment w:val="auto"/>
        <w:outlineLvl w:val="2"/>
        <w:rPr>
          <w:rFonts w:hint="eastAsia" w:ascii="宋体" w:hAnsi="宋体" w:eastAsia="宋体" w:cs="宋体"/>
          <w:b/>
          <w:bCs/>
          <w:color w:val="auto"/>
          <w:kern w:val="2"/>
          <w:sz w:val="28"/>
          <w:szCs w:val="28"/>
          <w:lang w:val="en-US" w:eastAsia="zh-CN" w:bidi="ar-SA"/>
        </w:rPr>
      </w:pPr>
      <w:r>
        <w:rPr>
          <w:rFonts w:hint="eastAsia" w:ascii="宋体" w:hAnsi="宋体" w:cs="宋体"/>
          <w:b/>
          <w:bCs/>
          <w:color w:val="auto"/>
          <w:kern w:val="2"/>
          <w:sz w:val="28"/>
          <w:szCs w:val="28"/>
          <w:lang w:val="en-US" w:eastAsia="zh-CN" w:bidi="ar-SA"/>
        </w:rPr>
        <w:t>7</w:t>
      </w:r>
      <w:r>
        <w:rPr>
          <w:rFonts w:hint="eastAsia" w:ascii="宋体" w:hAnsi="宋体" w:eastAsia="宋体" w:cs="宋体"/>
          <w:b/>
          <w:bCs/>
          <w:color w:val="auto"/>
          <w:kern w:val="2"/>
          <w:sz w:val="28"/>
          <w:szCs w:val="28"/>
          <w:lang w:val="en-US" w:eastAsia="zh-CN" w:bidi="ar-SA"/>
        </w:rPr>
        <w:t>.4.2 实施时间</w:t>
      </w:r>
    </w:p>
    <w:p w14:paraId="28514ED7">
      <w:pPr>
        <w:pageBreakBefore w:val="0"/>
        <w:kinsoku/>
        <w:wordWrap/>
        <w:overflowPunct/>
        <w:topLinePunct w:val="0"/>
        <w:autoSpaceDE/>
        <w:autoSpaceDN/>
        <w:bidi w:val="0"/>
        <w:adjustRightInd w:val="0"/>
        <w:snapToGrid w:val="0"/>
        <w:spacing w:line="360" w:lineRule="auto"/>
        <w:ind w:left="0" w:leftChars="0" w:right="0" w:firstLine="560" w:firstLineChars="20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本预案自印发之日起实施。</w:t>
      </w:r>
    </w:p>
    <w:p w14:paraId="71EBF852">
      <w:pPr>
        <w:rPr>
          <w:rFonts w:hint="eastAsia" w:ascii="宋体" w:hAnsi="宋体" w:cs="宋体"/>
          <w:b/>
          <w:bCs/>
          <w:color w:val="auto"/>
          <w:kern w:val="2"/>
          <w:sz w:val="32"/>
          <w:szCs w:val="32"/>
          <w:lang w:val="en-US" w:eastAsia="zh-CN" w:bidi="ar-SA"/>
        </w:rPr>
      </w:pPr>
      <w:r>
        <w:rPr>
          <w:rFonts w:hint="eastAsia" w:ascii="宋体" w:hAnsi="宋体" w:cs="宋体"/>
          <w:b/>
          <w:bCs/>
          <w:color w:val="auto"/>
          <w:kern w:val="2"/>
          <w:sz w:val="32"/>
          <w:szCs w:val="32"/>
          <w:lang w:val="en-US" w:eastAsia="zh-CN" w:bidi="ar-SA"/>
        </w:rPr>
        <w:br w:type="page"/>
      </w:r>
    </w:p>
    <w:p w14:paraId="75302C0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center"/>
        <w:textAlignment w:val="auto"/>
        <w:outlineLvl w:val="0"/>
        <w:rPr>
          <w:rFonts w:hint="eastAsia" w:ascii="宋体" w:hAnsi="宋体" w:eastAsia="宋体" w:cs="宋体"/>
          <w:b/>
          <w:bCs/>
          <w:color w:val="auto"/>
          <w:kern w:val="2"/>
          <w:sz w:val="32"/>
          <w:szCs w:val="32"/>
          <w:lang w:val="en-US" w:eastAsia="zh-CN" w:bidi="ar-SA"/>
        </w:rPr>
      </w:pPr>
      <w:bookmarkStart w:id="171" w:name="_Toc32760"/>
      <w:r>
        <w:rPr>
          <w:rFonts w:hint="eastAsia" w:ascii="宋体" w:hAnsi="宋体" w:cs="宋体"/>
          <w:b/>
          <w:bCs/>
          <w:color w:val="auto"/>
          <w:kern w:val="2"/>
          <w:sz w:val="32"/>
          <w:szCs w:val="32"/>
          <w:lang w:val="en-US" w:eastAsia="zh-CN" w:bidi="ar-SA"/>
        </w:rPr>
        <w:t>8</w:t>
      </w:r>
      <w:r>
        <w:rPr>
          <w:rFonts w:hint="eastAsia" w:ascii="宋体" w:hAnsi="宋体" w:eastAsia="宋体" w:cs="宋体"/>
          <w:b/>
          <w:bCs/>
          <w:color w:val="auto"/>
          <w:kern w:val="2"/>
          <w:sz w:val="32"/>
          <w:szCs w:val="32"/>
          <w:lang w:val="en-US" w:eastAsia="zh-CN" w:bidi="ar-SA"/>
        </w:rPr>
        <w:t xml:space="preserve"> 附件和附图</w:t>
      </w:r>
      <w:bookmarkEnd w:id="45"/>
      <w:bookmarkEnd w:id="46"/>
      <w:bookmarkEnd w:id="171"/>
    </w:p>
    <w:p w14:paraId="1DB020A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附件1：应急组织机构名单</w:t>
      </w:r>
    </w:p>
    <w:p w14:paraId="23B8A35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附件2：</w:t>
      </w:r>
      <w:r>
        <w:rPr>
          <w:rFonts w:hint="eastAsia" w:ascii="宋体" w:hAnsi="宋体" w:cs="宋体"/>
          <w:color w:val="auto"/>
          <w:sz w:val="28"/>
          <w:szCs w:val="28"/>
          <w:lang w:val="en-US" w:eastAsia="zh-CN"/>
        </w:rPr>
        <w:t>河堰镇</w:t>
      </w:r>
      <w:r>
        <w:rPr>
          <w:rFonts w:hint="eastAsia" w:ascii="宋体" w:hAnsi="宋体" w:eastAsia="宋体" w:cs="宋体"/>
          <w:color w:val="auto"/>
          <w:sz w:val="28"/>
          <w:szCs w:val="28"/>
          <w:lang w:val="en-US" w:eastAsia="zh-CN"/>
        </w:rPr>
        <w:t>环境突发事件应急物资清单</w:t>
      </w:r>
    </w:p>
    <w:p w14:paraId="075AA09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outlineLvl w:val="9"/>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附件3：开州区生态环境局应急物资储备情况</w:t>
      </w:r>
    </w:p>
    <w:p w14:paraId="0122AEC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附图1：开州区行政区划图</w:t>
      </w:r>
    </w:p>
    <w:p w14:paraId="4043771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附图2：开州区水系图</w:t>
      </w:r>
    </w:p>
    <w:p w14:paraId="159DC61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附图3 </w:t>
      </w:r>
      <w:r>
        <w:rPr>
          <w:rFonts w:hint="eastAsia" w:ascii="宋体" w:hAnsi="宋体" w:cs="宋体"/>
          <w:color w:val="auto"/>
          <w:sz w:val="28"/>
          <w:szCs w:val="28"/>
          <w:lang w:val="en-US" w:eastAsia="zh-CN"/>
        </w:rPr>
        <w:t>开州区河堰镇双龙洞地下水河堰供水站水源地</w:t>
      </w:r>
      <w:r>
        <w:rPr>
          <w:rFonts w:hint="eastAsia" w:ascii="宋体" w:hAnsi="宋体" w:eastAsia="宋体" w:cs="宋体"/>
          <w:color w:val="auto"/>
          <w:sz w:val="28"/>
          <w:szCs w:val="28"/>
          <w:lang w:val="en-US" w:eastAsia="zh-CN"/>
        </w:rPr>
        <w:t>地理位置图</w:t>
      </w:r>
    </w:p>
    <w:p w14:paraId="56B1462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附图</w:t>
      </w: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 xml:space="preserve"> 饮用水源地监测点位分布图</w:t>
      </w:r>
    </w:p>
    <w:p w14:paraId="793C1DAF">
      <w:pPr>
        <w:widowControl/>
        <w:adjustRightInd w:val="0"/>
        <w:snapToGrid w:val="0"/>
        <w:spacing w:line="520" w:lineRule="exact"/>
        <w:ind w:firstLine="480" w:firstLineChars="200"/>
        <w:rPr>
          <w:rFonts w:hint="eastAsia"/>
          <w:color w:val="FF0000"/>
          <w:sz w:val="24"/>
        </w:rPr>
      </w:pPr>
    </w:p>
    <w:p w14:paraId="7D73B04B">
      <w:pPr>
        <w:widowControl/>
        <w:adjustRightInd w:val="0"/>
        <w:snapToGrid w:val="0"/>
        <w:spacing w:line="520" w:lineRule="exact"/>
        <w:ind w:firstLine="480" w:firstLineChars="200"/>
        <w:rPr>
          <w:rFonts w:hint="eastAsia"/>
          <w:color w:val="FF0000"/>
          <w:sz w:val="24"/>
        </w:rPr>
      </w:pPr>
    </w:p>
    <w:p w14:paraId="2381CD8B">
      <w:pPr>
        <w:widowControl/>
        <w:adjustRightInd w:val="0"/>
        <w:snapToGrid w:val="0"/>
        <w:spacing w:line="520" w:lineRule="exact"/>
        <w:ind w:firstLine="480" w:firstLineChars="200"/>
        <w:rPr>
          <w:rFonts w:hint="eastAsia"/>
          <w:color w:val="FF0000"/>
          <w:sz w:val="24"/>
        </w:rPr>
      </w:pPr>
    </w:p>
    <w:p w14:paraId="3CCF96AE">
      <w:pPr>
        <w:widowControl/>
        <w:adjustRightInd w:val="0"/>
        <w:snapToGrid w:val="0"/>
        <w:spacing w:line="520" w:lineRule="exact"/>
        <w:ind w:firstLine="480" w:firstLineChars="200"/>
        <w:rPr>
          <w:rFonts w:hint="eastAsia"/>
          <w:color w:val="FF0000"/>
          <w:sz w:val="24"/>
        </w:rPr>
      </w:pPr>
    </w:p>
    <w:p w14:paraId="6F708A63">
      <w:pPr>
        <w:widowControl/>
        <w:adjustRightInd w:val="0"/>
        <w:snapToGrid w:val="0"/>
        <w:spacing w:line="520" w:lineRule="exact"/>
        <w:ind w:firstLine="480" w:firstLineChars="200"/>
        <w:rPr>
          <w:rFonts w:hint="eastAsia"/>
          <w:color w:val="FF0000"/>
          <w:sz w:val="24"/>
        </w:rPr>
      </w:pPr>
    </w:p>
    <w:p w14:paraId="387C8FC9">
      <w:pPr>
        <w:widowControl/>
        <w:adjustRightInd w:val="0"/>
        <w:snapToGrid w:val="0"/>
        <w:spacing w:line="520" w:lineRule="exact"/>
        <w:ind w:firstLine="480" w:firstLineChars="200"/>
        <w:rPr>
          <w:rFonts w:hint="eastAsia"/>
          <w:color w:val="FF0000"/>
          <w:sz w:val="24"/>
        </w:rPr>
      </w:pPr>
    </w:p>
    <w:p w14:paraId="6BCE014E">
      <w:pPr>
        <w:widowControl/>
        <w:adjustRightInd w:val="0"/>
        <w:snapToGrid w:val="0"/>
        <w:spacing w:line="520" w:lineRule="exact"/>
        <w:ind w:firstLine="480" w:firstLineChars="200"/>
        <w:rPr>
          <w:rFonts w:hint="eastAsia"/>
          <w:color w:val="FF0000"/>
          <w:sz w:val="24"/>
        </w:rPr>
      </w:pPr>
    </w:p>
    <w:p w14:paraId="5EFC06B5">
      <w:pPr>
        <w:widowControl/>
        <w:adjustRightInd w:val="0"/>
        <w:snapToGrid w:val="0"/>
        <w:spacing w:line="520" w:lineRule="exact"/>
        <w:ind w:firstLine="480" w:firstLineChars="200"/>
        <w:rPr>
          <w:rFonts w:hint="eastAsia"/>
          <w:color w:val="FF0000"/>
          <w:sz w:val="24"/>
        </w:rPr>
      </w:pPr>
    </w:p>
    <w:p w14:paraId="369084CB">
      <w:pPr>
        <w:widowControl/>
        <w:adjustRightInd w:val="0"/>
        <w:snapToGrid w:val="0"/>
        <w:spacing w:line="520" w:lineRule="exact"/>
        <w:ind w:firstLine="480" w:firstLineChars="200"/>
        <w:rPr>
          <w:rFonts w:hint="eastAsia"/>
          <w:color w:val="FF0000"/>
          <w:sz w:val="24"/>
        </w:rPr>
      </w:pPr>
    </w:p>
    <w:p w14:paraId="783E2103">
      <w:pPr>
        <w:widowControl/>
        <w:adjustRightInd w:val="0"/>
        <w:snapToGrid w:val="0"/>
        <w:spacing w:line="520" w:lineRule="exact"/>
        <w:ind w:firstLine="480" w:firstLineChars="200"/>
        <w:rPr>
          <w:rFonts w:hint="eastAsia"/>
          <w:color w:val="FF0000"/>
          <w:sz w:val="24"/>
        </w:rPr>
      </w:pPr>
    </w:p>
    <w:p w14:paraId="3A6E95D8">
      <w:pPr>
        <w:widowControl/>
        <w:adjustRightInd w:val="0"/>
        <w:snapToGrid w:val="0"/>
        <w:spacing w:line="520" w:lineRule="exact"/>
        <w:ind w:firstLine="480" w:firstLineChars="200"/>
        <w:rPr>
          <w:rFonts w:hint="eastAsia"/>
          <w:color w:val="FF0000"/>
          <w:sz w:val="24"/>
        </w:rPr>
      </w:pPr>
    </w:p>
    <w:p w14:paraId="64495F7B">
      <w:pPr>
        <w:rPr>
          <w:rFonts w:hint="eastAsia" w:ascii="宋体" w:hAnsi="宋体" w:eastAsia="宋体" w:cs="宋体"/>
          <w:color w:val="auto"/>
          <w:sz w:val="28"/>
          <w:szCs w:val="28"/>
        </w:rPr>
      </w:pPr>
      <w:bookmarkStart w:id="172" w:name="_Toc22773"/>
      <w:r>
        <w:rPr>
          <w:rFonts w:hint="eastAsia" w:ascii="宋体" w:hAnsi="宋体" w:eastAsia="宋体" w:cs="宋体"/>
          <w:color w:val="auto"/>
          <w:sz w:val="28"/>
          <w:szCs w:val="28"/>
        </w:rPr>
        <w:br w:type="page"/>
      </w:r>
    </w:p>
    <w:p w14:paraId="685648C1">
      <w:pPr>
        <w:pStyle w:val="5"/>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default" w:ascii="宋体" w:hAnsi="宋体" w:eastAsia="宋体" w:cs="宋体"/>
          <w:color w:val="auto"/>
          <w:sz w:val="21"/>
          <w:szCs w:val="21"/>
          <w:lang w:val="en-US" w:eastAsia="zh-CN"/>
        </w:rPr>
      </w:pPr>
      <w:bookmarkStart w:id="173" w:name="_Toc8052"/>
      <w:r>
        <w:rPr>
          <w:rFonts w:hint="eastAsia" w:ascii="宋体" w:hAnsi="宋体" w:eastAsia="宋体" w:cs="宋体"/>
          <w:color w:val="auto"/>
          <w:sz w:val="28"/>
          <w:szCs w:val="28"/>
        </w:rPr>
        <w:t>附件1：</w:t>
      </w:r>
      <w:r>
        <w:rPr>
          <w:rFonts w:hint="eastAsia" w:ascii="宋体" w:hAnsi="宋体" w:eastAsia="宋体" w:cs="宋体"/>
          <w:color w:val="auto"/>
          <w:sz w:val="28"/>
          <w:szCs w:val="28"/>
          <w:lang w:val="en-US" w:eastAsia="zh-CN"/>
        </w:rPr>
        <w:t>应急组织机构名单</w:t>
      </w:r>
      <w:bookmarkEnd w:id="172"/>
      <w:bookmarkEnd w:id="173"/>
    </w:p>
    <w:p w14:paraId="47CC7279">
      <w:pPr>
        <w:widowControl/>
        <w:jc w:val="center"/>
        <w:rPr>
          <w:rFonts w:hint="eastAsia" w:ascii="宋体" w:hAnsi="宋体" w:cs="宋体"/>
          <w:b/>
          <w:bCs/>
          <w:color w:val="auto"/>
          <w:kern w:val="0"/>
          <w:sz w:val="24"/>
        </w:rPr>
      </w:pPr>
      <w:r>
        <w:rPr>
          <w:rFonts w:hint="eastAsia" w:ascii="宋体" w:hAnsi="宋体" w:cs="宋体"/>
          <w:b/>
          <w:bCs/>
          <w:color w:val="auto"/>
          <w:kern w:val="0"/>
          <w:sz w:val="24"/>
        </w:rPr>
        <w:t>应急队伍名单</w:t>
      </w:r>
    </w:p>
    <w:p w14:paraId="2F3D0883">
      <w:pPr>
        <w:widowControl/>
        <w:jc w:val="center"/>
        <w:rPr>
          <w:rFonts w:hint="eastAsia" w:ascii="宋体" w:hAnsi="宋体" w:cs="宋体"/>
          <w:b/>
          <w:bCs/>
          <w:color w:val="FF0000"/>
          <w:kern w:val="0"/>
          <w:sz w:val="24"/>
        </w:rPr>
      </w:pPr>
    </w:p>
    <w:tbl>
      <w:tblPr>
        <w:tblStyle w:val="16"/>
        <w:tblW w:w="76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1218"/>
        <w:gridCol w:w="867"/>
        <w:gridCol w:w="2496"/>
        <w:gridCol w:w="1542"/>
      </w:tblGrid>
      <w:tr w14:paraId="241A2C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tcBorders>
              <w:tl2br w:val="nil"/>
              <w:tr2bl w:val="nil"/>
            </w:tcBorders>
            <w:noWrap w:val="0"/>
            <w:vAlign w:val="center"/>
          </w:tcPr>
          <w:p w14:paraId="02B6A2C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应急组织机构</w:t>
            </w:r>
          </w:p>
        </w:tc>
        <w:tc>
          <w:tcPr>
            <w:tcW w:w="1218" w:type="dxa"/>
            <w:tcBorders>
              <w:tl2br w:val="nil"/>
              <w:tr2bl w:val="nil"/>
            </w:tcBorders>
            <w:noWrap w:val="0"/>
            <w:vAlign w:val="center"/>
          </w:tcPr>
          <w:p w14:paraId="69EF730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应急职务</w:t>
            </w:r>
          </w:p>
        </w:tc>
        <w:tc>
          <w:tcPr>
            <w:tcW w:w="867" w:type="dxa"/>
            <w:tcBorders>
              <w:tl2br w:val="nil"/>
              <w:tr2bl w:val="nil"/>
            </w:tcBorders>
            <w:noWrap w:val="0"/>
            <w:vAlign w:val="center"/>
          </w:tcPr>
          <w:p w14:paraId="2275EC9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姓名</w:t>
            </w:r>
          </w:p>
        </w:tc>
        <w:tc>
          <w:tcPr>
            <w:tcW w:w="2496" w:type="dxa"/>
            <w:tcBorders>
              <w:tl2br w:val="nil"/>
              <w:tr2bl w:val="nil"/>
            </w:tcBorders>
            <w:noWrap w:val="0"/>
            <w:vAlign w:val="center"/>
          </w:tcPr>
          <w:p w14:paraId="01E55FF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部门（职务）</w:t>
            </w:r>
          </w:p>
        </w:tc>
        <w:tc>
          <w:tcPr>
            <w:tcW w:w="1542" w:type="dxa"/>
            <w:tcBorders>
              <w:tl2br w:val="nil"/>
              <w:tr2bl w:val="nil"/>
            </w:tcBorders>
            <w:noWrap w:val="0"/>
            <w:vAlign w:val="center"/>
          </w:tcPr>
          <w:p w14:paraId="78B7B13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联系电话</w:t>
            </w:r>
          </w:p>
        </w:tc>
      </w:tr>
      <w:tr w14:paraId="170EF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restart"/>
            <w:tcBorders>
              <w:tl2br w:val="nil"/>
              <w:tr2bl w:val="nil"/>
            </w:tcBorders>
            <w:noWrap w:val="0"/>
            <w:vAlign w:val="center"/>
          </w:tcPr>
          <w:p w14:paraId="5E85434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应急领导小组</w:t>
            </w:r>
          </w:p>
        </w:tc>
        <w:tc>
          <w:tcPr>
            <w:tcW w:w="1218" w:type="dxa"/>
            <w:tcBorders>
              <w:tl2br w:val="nil"/>
              <w:tr2bl w:val="nil"/>
            </w:tcBorders>
            <w:noWrap w:val="0"/>
            <w:vAlign w:val="center"/>
          </w:tcPr>
          <w:p w14:paraId="0D39B86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组长</w:t>
            </w:r>
          </w:p>
        </w:tc>
        <w:tc>
          <w:tcPr>
            <w:tcW w:w="867" w:type="dxa"/>
            <w:tcBorders>
              <w:tl2br w:val="nil"/>
              <w:tr2bl w:val="nil"/>
            </w:tcBorders>
            <w:noWrap w:val="0"/>
            <w:vAlign w:val="center"/>
          </w:tcPr>
          <w:p w14:paraId="2F78F3C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陈兴军</w:t>
            </w:r>
          </w:p>
        </w:tc>
        <w:tc>
          <w:tcPr>
            <w:tcW w:w="2496" w:type="dxa"/>
            <w:tcBorders>
              <w:tl2br w:val="nil"/>
              <w:tr2bl w:val="nil"/>
            </w:tcBorders>
            <w:noWrap w:val="0"/>
            <w:vAlign w:val="center"/>
          </w:tcPr>
          <w:p w14:paraId="4A0588C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eastAsia="zh-CN"/>
              </w:rPr>
              <w:t>镇长</w:t>
            </w:r>
          </w:p>
        </w:tc>
        <w:tc>
          <w:tcPr>
            <w:tcW w:w="1542" w:type="dxa"/>
            <w:tcBorders>
              <w:tl2br w:val="nil"/>
              <w:tr2bl w:val="nil"/>
            </w:tcBorders>
            <w:noWrap w:val="0"/>
            <w:vAlign w:val="center"/>
          </w:tcPr>
          <w:p w14:paraId="4BAFA0E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18716728999</w:t>
            </w:r>
          </w:p>
        </w:tc>
      </w:tr>
      <w:tr w14:paraId="2A630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16E9B71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restart"/>
            <w:tcBorders>
              <w:tl2br w:val="nil"/>
              <w:tr2bl w:val="nil"/>
            </w:tcBorders>
            <w:noWrap w:val="0"/>
            <w:vAlign w:val="center"/>
          </w:tcPr>
          <w:p w14:paraId="79C608A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副组长</w:t>
            </w:r>
          </w:p>
        </w:tc>
        <w:tc>
          <w:tcPr>
            <w:tcW w:w="867" w:type="dxa"/>
            <w:tcBorders>
              <w:tl2br w:val="nil"/>
              <w:tr2bl w:val="nil"/>
            </w:tcBorders>
            <w:noWrap w:val="0"/>
            <w:vAlign w:val="center"/>
          </w:tcPr>
          <w:p w14:paraId="582B20C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赵勇</w:t>
            </w:r>
          </w:p>
        </w:tc>
        <w:tc>
          <w:tcPr>
            <w:tcW w:w="2496" w:type="dxa"/>
            <w:tcBorders>
              <w:tl2br w:val="nil"/>
              <w:tr2bl w:val="nil"/>
            </w:tcBorders>
            <w:noWrap w:val="0"/>
            <w:vAlign w:val="center"/>
          </w:tcPr>
          <w:p w14:paraId="0AA879F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副书记</w:t>
            </w:r>
          </w:p>
        </w:tc>
        <w:tc>
          <w:tcPr>
            <w:tcW w:w="1542" w:type="dxa"/>
            <w:tcBorders>
              <w:tl2br w:val="nil"/>
              <w:tr2bl w:val="nil"/>
            </w:tcBorders>
            <w:noWrap w:val="0"/>
            <w:vAlign w:val="center"/>
          </w:tcPr>
          <w:p w14:paraId="3699830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13340302468</w:t>
            </w:r>
          </w:p>
        </w:tc>
      </w:tr>
      <w:tr w14:paraId="4FC98E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13F483C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3179528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34CB452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徐溧骏</w:t>
            </w:r>
          </w:p>
        </w:tc>
        <w:tc>
          <w:tcPr>
            <w:tcW w:w="2496" w:type="dxa"/>
            <w:tcBorders>
              <w:tl2br w:val="nil"/>
              <w:tr2bl w:val="nil"/>
            </w:tcBorders>
            <w:noWrap w:val="0"/>
            <w:vAlign w:val="center"/>
          </w:tcPr>
          <w:p w14:paraId="1D0F568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分管环境</w:t>
            </w:r>
            <w:r>
              <w:rPr>
                <w:rFonts w:hint="eastAsia" w:ascii="宋体" w:hAnsi="宋体" w:eastAsia="宋体" w:cs="宋体"/>
                <w:b w:val="0"/>
                <w:bCs w:val="0"/>
                <w:color w:val="auto"/>
                <w:sz w:val="21"/>
                <w:szCs w:val="21"/>
                <w:vertAlign w:val="baseline"/>
                <w:lang w:eastAsia="zh-CN"/>
              </w:rPr>
              <w:t>副镇长</w:t>
            </w:r>
          </w:p>
        </w:tc>
        <w:tc>
          <w:tcPr>
            <w:tcW w:w="1542" w:type="dxa"/>
            <w:tcBorders>
              <w:tl2br w:val="nil"/>
              <w:tr2bl w:val="nil"/>
            </w:tcBorders>
            <w:noWrap w:val="0"/>
            <w:vAlign w:val="center"/>
          </w:tcPr>
          <w:p w14:paraId="45B943C3">
            <w:pPr>
              <w:keepNext w:val="0"/>
              <w:keepLines w:val="0"/>
              <w:suppressLineNumbers w:val="0"/>
              <w:tabs>
                <w:tab w:val="left" w:pos="3419"/>
              </w:tabs>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13896376633</w:t>
            </w:r>
          </w:p>
        </w:tc>
      </w:tr>
      <w:tr w14:paraId="16122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3BA6349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759A5E6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2E4A4E6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向剑波</w:t>
            </w:r>
          </w:p>
        </w:tc>
        <w:tc>
          <w:tcPr>
            <w:tcW w:w="2496" w:type="dxa"/>
            <w:tcBorders>
              <w:tl2br w:val="nil"/>
              <w:tr2bl w:val="nil"/>
            </w:tcBorders>
            <w:noWrap w:val="0"/>
            <w:vAlign w:val="center"/>
          </w:tcPr>
          <w:p w14:paraId="0D8609C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eastAsia="zh-CN"/>
              </w:rPr>
              <w:t>分管</w:t>
            </w:r>
            <w:r>
              <w:rPr>
                <w:rFonts w:hint="eastAsia" w:ascii="宋体" w:hAnsi="宋体" w:eastAsia="宋体" w:cs="宋体"/>
                <w:b w:val="0"/>
                <w:bCs w:val="0"/>
                <w:color w:val="auto"/>
                <w:sz w:val="21"/>
                <w:szCs w:val="21"/>
                <w:vertAlign w:val="baseline"/>
                <w:lang w:val="en-US" w:eastAsia="zh-CN"/>
              </w:rPr>
              <w:t>应急</w:t>
            </w:r>
            <w:r>
              <w:rPr>
                <w:rFonts w:hint="eastAsia" w:ascii="宋体" w:hAnsi="宋体" w:eastAsia="宋体" w:cs="宋体"/>
                <w:b w:val="0"/>
                <w:bCs w:val="0"/>
                <w:color w:val="auto"/>
                <w:sz w:val="21"/>
                <w:szCs w:val="21"/>
                <w:vertAlign w:val="baseline"/>
                <w:lang w:eastAsia="zh-CN"/>
              </w:rPr>
              <w:t>副镇长</w:t>
            </w:r>
          </w:p>
        </w:tc>
        <w:tc>
          <w:tcPr>
            <w:tcW w:w="1542" w:type="dxa"/>
            <w:tcBorders>
              <w:tl2br w:val="nil"/>
              <w:tr2bl w:val="nil"/>
            </w:tcBorders>
            <w:noWrap w:val="0"/>
            <w:vAlign w:val="center"/>
          </w:tcPr>
          <w:p w14:paraId="0D52B2D0">
            <w:pPr>
              <w:keepNext w:val="0"/>
              <w:keepLines w:val="0"/>
              <w:suppressLineNumbers w:val="0"/>
              <w:tabs>
                <w:tab w:val="left" w:pos="3419"/>
              </w:tabs>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15025530111</w:t>
            </w:r>
          </w:p>
        </w:tc>
      </w:tr>
      <w:tr w14:paraId="6CB682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686ACA6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3F49F25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19DF4C6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陈永灿</w:t>
            </w:r>
          </w:p>
        </w:tc>
        <w:tc>
          <w:tcPr>
            <w:tcW w:w="2496" w:type="dxa"/>
            <w:tcBorders>
              <w:tl2br w:val="nil"/>
              <w:tr2bl w:val="nil"/>
            </w:tcBorders>
            <w:noWrap w:val="0"/>
            <w:vAlign w:val="center"/>
          </w:tcPr>
          <w:p w14:paraId="39D99E9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副镇长</w:t>
            </w:r>
          </w:p>
        </w:tc>
        <w:tc>
          <w:tcPr>
            <w:tcW w:w="1542" w:type="dxa"/>
            <w:tcBorders>
              <w:tl2br w:val="nil"/>
              <w:tr2bl w:val="nil"/>
            </w:tcBorders>
            <w:noWrap w:val="0"/>
            <w:vAlign w:val="center"/>
          </w:tcPr>
          <w:p w14:paraId="3222BA42">
            <w:pPr>
              <w:keepNext w:val="0"/>
              <w:keepLines w:val="0"/>
              <w:suppressLineNumbers w:val="0"/>
              <w:tabs>
                <w:tab w:val="left" w:pos="3419"/>
              </w:tabs>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13896922280</w:t>
            </w:r>
          </w:p>
        </w:tc>
      </w:tr>
      <w:tr w14:paraId="4681A7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053A77B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571D3C8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67ACA7D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李富斌</w:t>
            </w:r>
          </w:p>
        </w:tc>
        <w:tc>
          <w:tcPr>
            <w:tcW w:w="2496" w:type="dxa"/>
            <w:tcBorders>
              <w:tl2br w:val="nil"/>
              <w:tr2bl w:val="nil"/>
            </w:tcBorders>
            <w:noWrap w:val="0"/>
            <w:vAlign w:val="center"/>
          </w:tcPr>
          <w:p w14:paraId="11B24B0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eastAsia="zh-CN"/>
              </w:rPr>
              <w:t>副镇长</w:t>
            </w:r>
          </w:p>
        </w:tc>
        <w:tc>
          <w:tcPr>
            <w:tcW w:w="1542" w:type="dxa"/>
            <w:tcBorders>
              <w:tl2br w:val="nil"/>
              <w:tr2bl w:val="nil"/>
            </w:tcBorders>
            <w:noWrap w:val="0"/>
            <w:vAlign w:val="center"/>
          </w:tcPr>
          <w:p w14:paraId="3EDA2D6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13896985749</w:t>
            </w:r>
          </w:p>
        </w:tc>
      </w:tr>
      <w:tr w14:paraId="36EAB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0DE9D11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0BD64D1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7371780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廖龙权</w:t>
            </w:r>
          </w:p>
        </w:tc>
        <w:tc>
          <w:tcPr>
            <w:tcW w:w="2496" w:type="dxa"/>
            <w:tcBorders>
              <w:tl2br w:val="nil"/>
              <w:tr2bl w:val="nil"/>
            </w:tcBorders>
            <w:noWrap w:val="0"/>
            <w:vAlign w:val="center"/>
          </w:tcPr>
          <w:p w14:paraId="1B34088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纪委书记</w:t>
            </w:r>
          </w:p>
        </w:tc>
        <w:tc>
          <w:tcPr>
            <w:tcW w:w="1542" w:type="dxa"/>
            <w:tcBorders>
              <w:tl2br w:val="nil"/>
              <w:tr2bl w:val="nil"/>
            </w:tcBorders>
            <w:noWrap w:val="0"/>
            <w:vAlign w:val="center"/>
          </w:tcPr>
          <w:p w14:paraId="2E46939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13594032322</w:t>
            </w:r>
          </w:p>
        </w:tc>
      </w:tr>
      <w:tr w14:paraId="2F532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10D87EC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21728B2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67E01E9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傅作田</w:t>
            </w:r>
          </w:p>
        </w:tc>
        <w:tc>
          <w:tcPr>
            <w:tcW w:w="2496" w:type="dxa"/>
            <w:tcBorders>
              <w:tl2br w:val="nil"/>
              <w:tr2bl w:val="nil"/>
            </w:tcBorders>
            <w:noWrap w:val="0"/>
            <w:vAlign w:val="center"/>
          </w:tcPr>
          <w:p w14:paraId="67D3ECB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宣统委员</w:t>
            </w:r>
          </w:p>
        </w:tc>
        <w:tc>
          <w:tcPr>
            <w:tcW w:w="1542" w:type="dxa"/>
            <w:tcBorders>
              <w:tl2br w:val="nil"/>
              <w:tr2bl w:val="nil"/>
            </w:tcBorders>
            <w:noWrap w:val="0"/>
            <w:vAlign w:val="center"/>
          </w:tcPr>
          <w:p w14:paraId="3BC985B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17823009588</w:t>
            </w:r>
          </w:p>
        </w:tc>
      </w:tr>
      <w:tr w14:paraId="645049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4051716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1EF021D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418595E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涂生洪</w:t>
            </w:r>
          </w:p>
        </w:tc>
        <w:tc>
          <w:tcPr>
            <w:tcW w:w="2496" w:type="dxa"/>
            <w:tcBorders>
              <w:tl2br w:val="nil"/>
              <w:tr2bl w:val="nil"/>
            </w:tcBorders>
            <w:noWrap w:val="0"/>
            <w:vAlign w:val="center"/>
          </w:tcPr>
          <w:p w14:paraId="019BF8B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组织委员</w:t>
            </w:r>
          </w:p>
        </w:tc>
        <w:tc>
          <w:tcPr>
            <w:tcW w:w="1542" w:type="dxa"/>
            <w:tcBorders>
              <w:tl2br w:val="nil"/>
              <w:tr2bl w:val="nil"/>
            </w:tcBorders>
            <w:noWrap w:val="0"/>
            <w:vAlign w:val="center"/>
          </w:tcPr>
          <w:p w14:paraId="2761262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13388988776</w:t>
            </w:r>
          </w:p>
        </w:tc>
      </w:tr>
      <w:tr w14:paraId="1F732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448AC8F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restart"/>
            <w:tcBorders>
              <w:tl2br w:val="nil"/>
              <w:tr2bl w:val="nil"/>
            </w:tcBorders>
            <w:noWrap w:val="0"/>
            <w:vAlign w:val="center"/>
          </w:tcPr>
          <w:p w14:paraId="2243887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成员</w:t>
            </w:r>
          </w:p>
        </w:tc>
        <w:tc>
          <w:tcPr>
            <w:tcW w:w="867" w:type="dxa"/>
            <w:tcBorders>
              <w:tl2br w:val="nil"/>
              <w:tr2bl w:val="nil"/>
            </w:tcBorders>
            <w:noWrap w:val="0"/>
            <w:vAlign w:val="center"/>
          </w:tcPr>
          <w:p w14:paraId="2C0509F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叶小丽</w:t>
            </w:r>
          </w:p>
        </w:tc>
        <w:tc>
          <w:tcPr>
            <w:tcW w:w="2496" w:type="dxa"/>
            <w:tcBorders>
              <w:tl2br w:val="nil"/>
              <w:tr2bl w:val="nil"/>
            </w:tcBorders>
            <w:noWrap w:val="0"/>
            <w:vAlign w:val="center"/>
          </w:tcPr>
          <w:p w14:paraId="782432E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党政办主任</w:t>
            </w:r>
          </w:p>
        </w:tc>
        <w:tc>
          <w:tcPr>
            <w:tcW w:w="1542" w:type="dxa"/>
            <w:tcBorders>
              <w:tl2br w:val="nil"/>
              <w:tr2bl w:val="nil"/>
            </w:tcBorders>
            <w:noWrap w:val="0"/>
            <w:vAlign w:val="center"/>
          </w:tcPr>
          <w:p w14:paraId="0AE790E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17729672123</w:t>
            </w:r>
          </w:p>
        </w:tc>
      </w:tr>
      <w:tr w14:paraId="4BA8FC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6E5D795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7F76739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7D416DC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吴海琼</w:t>
            </w:r>
          </w:p>
        </w:tc>
        <w:tc>
          <w:tcPr>
            <w:tcW w:w="2496" w:type="dxa"/>
            <w:tcBorders>
              <w:tl2br w:val="nil"/>
              <w:tr2bl w:val="nil"/>
            </w:tcBorders>
            <w:noWrap w:val="0"/>
            <w:vAlign w:val="center"/>
          </w:tcPr>
          <w:p w14:paraId="183F0E0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便民服务中心主任</w:t>
            </w:r>
          </w:p>
        </w:tc>
        <w:tc>
          <w:tcPr>
            <w:tcW w:w="1542" w:type="dxa"/>
            <w:tcBorders>
              <w:tl2br w:val="nil"/>
              <w:tr2bl w:val="nil"/>
            </w:tcBorders>
            <w:noWrap w:val="0"/>
            <w:vAlign w:val="center"/>
          </w:tcPr>
          <w:p w14:paraId="0FDCCBD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19923233977</w:t>
            </w:r>
          </w:p>
        </w:tc>
      </w:tr>
      <w:tr w14:paraId="1A1DD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65A2449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5108C1D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3FA2BA5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明银平</w:t>
            </w:r>
          </w:p>
        </w:tc>
        <w:tc>
          <w:tcPr>
            <w:tcW w:w="2496" w:type="dxa"/>
            <w:tcBorders>
              <w:tl2br w:val="nil"/>
              <w:tr2bl w:val="nil"/>
            </w:tcBorders>
            <w:noWrap w:val="0"/>
            <w:vAlign w:val="center"/>
          </w:tcPr>
          <w:p w14:paraId="1988C89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新时代文明实践服务中心主任</w:t>
            </w:r>
          </w:p>
        </w:tc>
        <w:tc>
          <w:tcPr>
            <w:tcW w:w="1542" w:type="dxa"/>
            <w:tcBorders>
              <w:tl2br w:val="nil"/>
              <w:tr2bl w:val="nil"/>
            </w:tcBorders>
            <w:noWrap w:val="0"/>
            <w:vAlign w:val="center"/>
          </w:tcPr>
          <w:p w14:paraId="747D7D1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19232526335</w:t>
            </w:r>
          </w:p>
        </w:tc>
      </w:tr>
      <w:tr w14:paraId="5AB79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06F3551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2284444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1B02B26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刘玉雄</w:t>
            </w:r>
          </w:p>
        </w:tc>
        <w:tc>
          <w:tcPr>
            <w:tcW w:w="2496" w:type="dxa"/>
            <w:tcBorders>
              <w:tl2br w:val="nil"/>
              <w:tr2bl w:val="nil"/>
            </w:tcBorders>
            <w:noWrap w:val="0"/>
            <w:vAlign w:val="center"/>
          </w:tcPr>
          <w:p w14:paraId="338BD2B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产业发展服务中心主任</w:t>
            </w:r>
          </w:p>
        </w:tc>
        <w:tc>
          <w:tcPr>
            <w:tcW w:w="1542" w:type="dxa"/>
            <w:tcBorders>
              <w:tl2br w:val="nil"/>
              <w:tr2bl w:val="nil"/>
            </w:tcBorders>
            <w:noWrap w:val="0"/>
            <w:vAlign w:val="center"/>
          </w:tcPr>
          <w:p w14:paraId="67C2BB6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15823778778</w:t>
            </w:r>
          </w:p>
        </w:tc>
      </w:tr>
      <w:tr w14:paraId="744BD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2557DC3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1ADB756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71F9BC8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袁珺</w:t>
            </w:r>
          </w:p>
        </w:tc>
        <w:tc>
          <w:tcPr>
            <w:tcW w:w="2496" w:type="dxa"/>
            <w:tcBorders>
              <w:tl2br w:val="nil"/>
              <w:tr2bl w:val="nil"/>
            </w:tcBorders>
            <w:noWrap w:val="0"/>
            <w:vAlign w:val="center"/>
          </w:tcPr>
          <w:p w14:paraId="61C45D3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应急管理办公室主任</w:t>
            </w:r>
          </w:p>
        </w:tc>
        <w:tc>
          <w:tcPr>
            <w:tcW w:w="1542" w:type="dxa"/>
            <w:tcBorders>
              <w:tl2br w:val="nil"/>
              <w:tr2bl w:val="nil"/>
            </w:tcBorders>
            <w:noWrap w:val="0"/>
            <w:vAlign w:val="center"/>
          </w:tcPr>
          <w:p w14:paraId="638C3B4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18983550231</w:t>
            </w:r>
          </w:p>
        </w:tc>
      </w:tr>
      <w:tr w14:paraId="31842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tcBorders>
              <w:tl2br w:val="nil"/>
              <w:tr2bl w:val="nil"/>
            </w:tcBorders>
            <w:noWrap w:val="0"/>
            <w:vAlign w:val="center"/>
          </w:tcPr>
          <w:p w14:paraId="23832CF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tcBorders>
              <w:tl2br w:val="nil"/>
              <w:tr2bl w:val="nil"/>
            </w:tcBorders>
            <w:noWrap w:val="0"/>
            <w:vAlign w:val="center"/>
          </w:tcPr>
          <w:p w14:paraId="4E797E8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tcBorders>
              <w:tl2br w:val="nil"/>
              <w:tr2bl w:val="nil"/>
            </w:tcBorders>
            <w:noWrap w:val="0"/>
            <w:vAlign w:val="center"/>
          </w:tcPr>
          <w:p w14:paraId="088B2F5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周明亮</w:t>
            </w:r>
          </w:p>
        </w:tc>
        <w:tc>
          <w:tcPr>
            <w:tcW w:w="2496" w:type="dxa"/>
            <w:tcBorders>
              <w:tl2br w:val="nil"/>
              <w:tr2bl w:val="nil"/>
            </w:tcBorders>
            <w:noWrap w:val="0"/>
            <w:vAlign w:val="center"/>
          </w:tcPr>
          <w:p w14:paraId="426A368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cs="宋体"/>
                <w:b w:val="0"/>
                <w:bCs w:val="0"/>
                <w:color w:val="auto"/>
                <w:sz w:val="21"/>
                <w:szCs w:val="21"/>
                <w:vertAlign w:val="baseline"/>
                <w:lang w:eastAsia="zh-CN"/>
              </w:rPr>
              <w:t>村镇建设</w:t>
            </w:r>
            <w:r>
              <w:rPr>
                <w:rFonts w:hint="eastAsia" w:ascii="宋体" w:hAnsi="宋体" w:eastAsia="宋体" w:cs="宋体"/>
                <w:b w:val="0"/>
                <w:bCs w:val="0"/>
                <w:color w:val="auto"/>
                <w:sz w:val="21"/>
                <w:szCs w:val="21"/>
                <w:vertAlign w:val="baseline"/>
                <w:lang w:eastAsia="zh-CN"/>
              </w:rPr>
              <w:t>服务中心主任</w:t>
            </w:r>
          </w:p>
        </w:tc>
        <w:tc>
          <w:tcPr>
            <w:tcW w:w="1542" w:type="dxa"/>
            <w:tcBorders>
              <w:tl2br w:val="nil"/>
              <w:tr2bl w:val="nil"/>
            </w:tcBorders>
            <w:noWrap w:val="0"/>
            <w:vAlign w:val="center"/>
          </w:tcPr>
          <w:p w14:paraId="1CD2447E">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13896268677</w:t>
            </w:r>
          </w:p>
        </w:tc>
      </w:tr>
      <w:tr w14:paraId="4F5A8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350E069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2D596FC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shd w:val="clear" w:color="auto" w:fill="auto"/>
            <w:noWrap w:val="0"/>
            <w:vAlign w:val="center"/>
          </w:tcPr>
          <w:p w14:paraId="06E14AA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范自来</w:t>
            </w:r>
          </w:p>
        </w:tc>
        <w:tc>
          <w:tcPr>
            <w:tcW w:w="2496" w:type="dxa"/>
            <w:shd w:val="clear" w:color="auto" w:fill="auto"/>
            <w:noWrap w:val="0"/>
            <w:vAlign w:val="center"/>
          </w:tcPr>
          <w:p w14:paraId="34330DA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花木村书记</w:t>
            </w:r>
          </w:p>
        </w:tc>
        <w:tc>
          <w:tcPr>
            <w:tcW w:w="1542" w:type="dxa"/>
            <w:shd w:val="clear" w:color="auto" w:fill="auto"/>
            <w:noWrap w:val="0"/>
            <w:vAlign w:val="center"/>
          </w:tcPr>
          <w:p w14:paraId="1B7D9A79">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kern w:val="2"/>
                <w:sz w:val="21"/>
                <w:szCs w:val="21"/>
                <w:vertAlign w:val="baseline"/>
                <w:lang w:val="en-US" w:eastAsia="zh-CN" w:bidi="ar-SA"/>
              </w:rPr>
            </w:pPr>
            <w:r>
              <w:rPr>
                <w:rFonts w:hint="default" w:ascii="宋体" w:hAnsi="宋体" w:eastAsia="宋体" w:cs="宋体"/>
                <w:b w:val="0"/>
                <w:bCs w:val="0"/>
                <w:color w:val="auto"/>
                <w:sz w:val="21"/>
                <w:szCs w:val="21"/>
                <w:vertAlign w:val="baseline"/>
                <w:lang w:val="en-US" w:eastAsia="zh-CN"/>
              </w:rPr>
              <w:t>15923874598</w:t>
            </w:r>
          </w:p>
        </w:tc>
      </w:tr>
      <w:tr w14:paraId="6E9F6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4F89EA8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51201A1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34D9839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谢万林</w:t>
            </w:r>
          </w:p>
        </w:tc>
        <w:tc>
          <w:tcPr>
            <w:tcW w:w="2496" w:type="dxa"/>
            <w:noWrap w:val="0"/>
            <w:vAlign w:val="center"/>
          </w:tcPr>
          <w:p w14:paraId="517C865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火石溪水厂，岩水水厂</w:t>
            </w:r>
          </w:p>
        </w:tc>
        <w:tc>
          <w:tcPr>
            <w:tcW w:w="1542" w:type="dxa"/>
            <w:noWrap w:val="0"/>
            <w:vAlign w:val="center"/>
          </w:tcPr>
          <w:p w14:paraId="7286F001">
            <w:pPr>
              <w:keepNext w:val="0"/>
              <w:keepLines w:val="0"/>
              <w:suppressLineNumbers w:val="0"/>
              <w:spacing w:before="0" w:beforeAutospacing="0" w:after="0" w:afterAutospacing="0"/>
              <w:ind w:left="0" w:leftChars="0" w:right="0" w:rightChars="0"/>
              <w:jc w:val="center"/>
              <w:rPr>
                <w:rFonts w:hint="default" w:ascii="宋体" w:hAnsi="宋体" w:eastAsia="宋体" w:cs="宋体"/>
                <w:b w:val="0"/>
                <w:bCs w:val="0"/>
                <w:color w:val="auto"/>
                <w:sz w:val="21"/>
                <w:szCs w:val="21"/>
                <w:vertAlign w:val="baseline"/>
                <w:lang w:val="en-US" w:eastAsia="zh-CN"/>
              </w:rPr>
            </w:pPr>
            <w:r>
              <w:rPr>
                <w:rFonts w:hint="default" w:ascii="宋体" w:hAnsi="宋体" w:eastAsia="宋体" w:cs="宋体"/>
                <w:b w:val="0"/>
                <w:bCs w:val="0"/>
                <w:color w:val="auto"/>
                <w:sz w:val="21"/>
                <w:szCs w:val="21"/>
                <w:vertAlign w:val="baseline"/>
                <w:lang w:val="en-US" w:eastAsia="zh-CN"/>
              </w:rPr>
              <w:t>13996501102</w:t>
            </w:r>
          </w:p>
        </w:tc>
      </w:tr>
      <w:tr w14:paraId="34F76F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66565B4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114E176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7F45438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曹桂学</w:t>
            </w:r>
          </w:p>
        </w:tc>
        <w:tc>
          <w:tcPr>
            <w:tcW w:w="2496" w:type="dxa"/>
            <w:noWrap w:val="0"/>
            <w:vAlign w:val="center"/>
          </w:tcPr>
          <w:p w14:paraId="2BE0EE2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花木水厂</w:t>
            </w:r>
          </w:p>
        </w:tc>
        <w:tc>
          <w:tcPr>
            <w:tcW w:w="1542" w:type="dxa"/>
            <w:noWrap w:val="0"/>
            <w:vAlign w:val="center"/>
          </w:tcPr>
          <w:p w14:paraId="3E6E1FA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18225132100</w:t>
            </w:r>
          </w:p>
        </w:tc>
      </w:tr>
      <w:tr w14:paraId="19E16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restart"/>
            <w:noWrap w:val="0"/>
            <w:vAlign w:val="center"/>
          </w:tcPr>
          <w:p w14:paraId="0A206BE2">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应急处置组</w:t>
            </w:r>
          </w:p>
        </w:tc>
        <w:tc>
          <w:tcPr>
            <w:tcW w:w="1218" w:type="dxa"/>
            <w:noWrap w:val="0"/>
            <w:vAlign w:val="center"/>
          </w:tcPr>
          <w:p w14:paraId="18132E01">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组长</w:t>
            </w:r>
          </w:p>
        </w:tc>
        <w:tc>
          <w:tcPr>
            <w:tcW w:w="867" w:type="dxa"/>
            <w:noWrap w:val="0"/>
            <w:vAlign w:val="center"/>
          </w:tcPr>
          <w:p w14:paraId="1F2622B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向剑波</w:t>
            </w:r>
          </w:p>
        </w:tc>
        <w:tc>
          <w:tcPr>
            <w:tcW w:w="2496" w:type="dxa"/>
            <w:noWrap w:val="0"/>
            <w:vAlign w:val="center"/>
          </w:tcPr>
          <w:p w14:paraId="585A9D8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分管应急</w:t>
            </w:r>
            <w:r>
              <w:rPr>
                <w:rFonts w:hint="eastAsia" w:ascii="宋体" w:hAnsi="宋体" w:eastAsia="宋体" w:cs="宋体"/>
                <w:b w:val="0"/>
                <w:bCs w:val="0"/>
                <w:color w:val="auto"/>
                <w:sz w:val="21"/>
                <w:szCs w:val="21"/>
                <w:vertAlign w:val="baseline"/>
                <w:lang w:eastAsia="zh-CN"/>
              </w:rPr>
              <w:t>副镇长</w:t>
            </w:r>
          </w:p>
        </w:tc>
        <w:tc>
          <w:tcPr>
            <w:tcW w:w="1542" w:type="dxa"/>
            <w:noWrap w:val="0"/>
            <w:vAlign w:val="center"/>
          </w:tcPr>
          <w:p w14:paraId="03D6CCBB">
            <w:pPr>
              <w:keepNext w:val="0"/>
              <w:keepLines w:val="0"/>
              <w:suppressLineNumbers w:val="0"/>
              <w:tabs>
                <w:tab w:val="left" w:pos="3419"/>
              </w:tabs>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15025530111</w:t>
            </w:r>
          </w:p>
        </w:tc>
      </w:tr>
      <w:tr w14:paraId="7C0891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2D2D0D7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restart"/>
            <w:noWrap w:val="0"/>
            <w:vAlign w:val="center"/>
          </w:tcPr>
          <w:p w14:paraId="692A1517">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副组长</w:t>
            </w:r>
          </w:p>
        </w:tc>
        <w:tc>
          <w:tcPr>
            <w:tcW w:w="867" w:type="dxa"/>
            <w:noWrap w:val="0"/>
            <w:vAlign w:val="center"/>
          </w:tcPr>
          <w:p w14:paraId="0B4086A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袁珺</w:t>
            </w:r>
          </w:p>
        </w:tc>
        <w:tc>
          <w:tcPr>
            <w:tcW w:w="2496" w:type="dxa"/>
            <w:noWrap w:val="0"/>
            <w:vAlign w:val="center"/>
          </w:tcPr>
          <w:p w14:paraId="25463F5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应急管理办公室主任</w:t>
            </w:r>
          </w:p>
        </w:tc>
        <w:tc>
          <w:tcPr>
            <w:tcW w:w="1542" w:type="dxa"/>
            <w:noWrap w:val="0"/>
            <w:vAlign w:val="center"/>
          </w:tcPr>
          <w:p w14:paraId="658DB28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18983550231</w:t>
            </w:r>
          </w:p>
        </w:tc>
      </w:tr>
      <w:tr w14:paraId="3B553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66C7476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290E54D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082722A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周明亮</w:t>
            </w:r>
          </w:p>
        </w:tc>
        <w:tc>
          <w:tcPr>
            <w:tcW w:w="2496" w:type="dxa"/>
            <w:noWrap w:val="0"/>
            <w:vAlign w:val="center"/>
          </w:tcPr>
          <w:p w14:paraId="6C712F4A">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auto"/>
                <w:kern w:val="2"/>
                <w:sz w:val="21"/>
                <w:szCs w:val="21"/>
                <w:vertAlign w:val="baseline"/>
                <w:lang w:val="en-US" w:eastAsia="zh-CN" w:bidi="ar-SA"/>
              </w:rPr>
            </w:pPr>
            <w:r>
              <w:rPr>
                <w:rFonts w:hint="eastAsia" w:ascii="宋体" w:hAnsi="宋体" w:cs="宋体"/>
                <w:b w:val="0"/>
                <w:bCs w:val="0"/>
                <w:color w:val="auto"/>
                <w:sz w:val="21"/>
                <w:szCs w:val="21"/>
                <w:vertAlign w:val="baseline"/>
                <w:lang w:eastAsia="zh-CN"/>
              </w:rPr>
              <w:t>村镇建设</w:t>
            </w:r>
            <w:r>
              <w:rPr>
                <w:rFonts w:hint="eastAsia" w:ascii="宋体" w:hAnsi="宋体" w:eastAsia="宋体" w:cs="宋体"/>
                <w:b w:val="0"/>
                <w:bCs w:val="0"/>
                <w:color w:val="auto"/>
                <w:sz w:val="21"/>
                <w:szCs w:val="21"/>
                <w:vertAlign w:val="baseline"/>
                <w:lang w:eastAsia="zh-CN"/>
              </w:rPr>
              <w:t>服务中心主任</w:t>
            </w:r>
          </w:p>
        </w:tc>
        <w:tc>
          <w:tcPr>
            <w:tcW w:w="1542" w:type="dxa"/>
            <w:noWrap w:val="0"/>
            <w:vAlign w:val="center"/>
          </w:tcPr>
          <w:p w14:paraId="24C7F9B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13896268677</w:t>
            </w:r>
          </w:p>
        </w:tc>
      </w:tr>
      <w:tr w14:paraId="58196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064F599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061372C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3B6C6FB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向前</w:t>
            </w:r>
          </w:p>
        </w:tc>
        <w:tc>
          <w:tcPr>
            <w:tcW w:w="2496" w:type="dxa"/>
            <w:noWrap w:val="0"/>
            <w:vAlign w:val="center"/>
          </w:tcPr>
          <w:p w14:paraId="26BC04F0">
            <w:pPr>
              <w:keepNext w:val="0"/>
              <w:keepLines w:val="0"/>
              <w:suppressLineNumbers w:val="0"/>
              <w:spacing w:before="0" w:beforeAutospacing="0" w:after="0" w:afterAutospacing="0"/>
              <w:ind w:left="0" w:leftChars="0" w:right="0" w:rightChars="0"/>
              <w:jc w:val="center"/>
              <w:rPr>
                <w:rFonts w:hint="eastAsia" w:ascii="宋体" w:hAnsi="宋体" w:cs="宋体"/>
                <w:b w:val="0"/>
                <w:bCs w:val="0"/>
                <w:color w:val="auto"/>
                <w:sz w:val="21"/>
                <w:szCs w:val="21"/>
                <w:vertAlign w:val="baseline"/>
                <w:lang w:eastAsia="zh-CN"/>
              </w:rPr>
            </w:pPr>
            <w:r>
              <w:rPr>
                <w:rFonts w:hint="eastAsia" w:ascii="宋体" w:hAnsi="宋体" w:cs="宋体"/>
                <w:b w:val="0"/>
                <w:bCs w:val="0"/>
                <w:color w:val="auto"/>
                <w:sz w:val="21"/>
                <w:szCs w:val="21"/>
                <w:vertAlign w:val="baseline"/>
                <w:lang w:eastAsia="zh-CN"/>
              </w:rPr>
              <w:t>水利服务中心站长</w:t>
            </w:r>
          </w:p>
        </w:tc>
        <w:tc>
          <w:tcPr>
            <w:tcW w:w="1542" w:type="dxa"/>
            <w:noWrap w:val="0"/>
            <w:vAlign w:val="center"/>
          </w:tcPr>
          <w:p w14:paraId="4011717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17723277567</w:t>
            </w:r>
          </w:p>
        </w:tc>
      </w:tr>
      <w:tr w14:paraId="7E8DD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1E676FC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restart"/>
            <w:noWrap w:val="0"/>
            <w:vAlign w:val="center"/>
          </w:tcPr>
          <w:p w14:paraId="74F106FE">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成员</w:t>
            </w:r>
          </w:p>
        </w:tc>
        <w:tc>
          <w:tcPr>
            <w:tcW w:w="867" w:type="dxa"/>
            <w:noWrap w:val="0"/>
            <w:vAlign w:val="center"/>
          </w:tcPr>
          <w:p w14:paraId="256E907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王本林</w:t>
            </w:r>
          </w:p>
        </w:tc>
        <w:tc>
          <w:tcPr>
            <w:tcW w:w="2496" w:type="dxa"/>
            <w:noWrap w:val="0"/>
            <w:vAlign w:val="center"/>
          </w:tcPr>
          <w:p w14:paraId="2919EDA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cs="宋体"/>
                <w:b w:val="0"/>
                <w:bCs w:val="0"/>
                <w:color w:val="auto"/>
                <w:sz w:val="21"/>
                <w:szCs w:val="21"/>
                <w:vertAlign w:val="baseline"/>
                <w:lang w:eastAsia="zh-CN"/>
              </w:rPr>
              <w:t>村镇建设</w:t>
            </w:r>
            <w:r>
              <w:rPr>
                <w:rFonts w:hint="eastAsia" w:ascii="宋体" w:hAnsi="宋体" w:eastAsia="宋体" w:cs="宋体"/>
                <w:b w:val="0"/>
                <w:bCs w:val="0"/>
                <w:color w:val="auto"/>
                <w:sz w:val="21"/>
                <w:szCs w:val="21"/>
                <w:vertAlign w:val="baseline"/>
                <w:lang w:eastAsia="zh-CN"/>
              </w:rPr>
              <w:t>服务中心</w:t>
            </w:r>
            <w:r>
              <w:rPr>
                <w:rFonts w:hint="eastAsia" w:ascii="宋体" w:hAnsi="宋体" w:cs="宋体"/>
                <w:b w:val="0"/>
                <w:bCs w:val="0"/>
                <w:color w:val="auto"/>
                <w:sz w:val="21"/>
                <w:szCs w:val="21"/>
                <w:vertAlign w:val="baseline"/>
                <w:lang w:eastAsia="zh-CN"/>
              </w:rPr>
              <w:t>职工</w:t>
            </w:r>
          </w:p>
        </w:tc>
        <w:tc>
          <w:tcPr>
            <w:tcW w:w="1542" w:type="dxa"/>
            <w:noWrap w:val="0"/>
            <w:vAlign w:val="center"/>
          </w:tcPr>
          <w:p w14:paraId="6D44013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18996604021</w:t>
            </w:r>
          </w:p>
        </w:tc>
      </w:tr>
      <w:tr w14:paraId="4942B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7F5C0AE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1E4EBF0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390C2F0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何博</w:t>
            </w:r>
          </w:p>
        </w:tc>
        <w:tc>
          <w:tcPr>
            <w:tcW w:w="2496" w:type="dxa"/>
            <w:noWrap w:val="0"/>
            <w:vAlign w:val="center"/>
          </w:tcPr>
          <w:p w14:paraId="0952765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cs="宋体"/>
                <w:b w:val="0"/>
                <w:bCs w:val="0"/>
                <w:color w:val="auto"/>
                <w:sz w:val="21"/>
                <w:szCs w:val="21"/>
                <w:vertAlign w:val="baseline"/>
                <w:lang w:eastAsia="zh-CN"/>
              </w:rPr>
              <w:t>村镇建设</w:t>
            </w:r>
            <w:r>
              <w:rPr>
                <w:rFonts w:hint="eastAsia" w:ascii="宋体" w:hAnsi="宋体" w:eastAsia="宋体" w:cs="宋体"/>
                <w:b w:val="0"/>
                <w:bCs w:val="0"/>
                <w:color w:val="auto"/>
                <w:sz w:val="21"/>
                <w:szCs w:val="21"/>
                <w:vertAlign w:val="baseline"/>
                <w:lang w:eastAsia="zh-CN"/>
              </w:rPr>
              <w:t>服务中心</w:t>
            </w:r>
            <w:r>
              <w:rPr>
                <w:rFonts w:hint="eastAsia" w:ascii="宋体" w:hAnsi="宋体" w:cs="宋体"/>
                <w:b w:val="0"/>
                <w:bCs w:val="0"/>
                <w:color w:val="auto"/>
                <w:sz w:val="21"/>
                <w:szCs w:val="21"/>
                <w:vertAlign w:val="baseline"/>
                <w:lang w:eastAsia="zh-CN"/>
              </w:rPr>
              <w:t>职工</w:t>
            </w:r>
          </w:p>
        </w:tc>
        <w:tc>
          <w:tcPr>
            <w:tcW w:w="1542" w:type="dxa"/>
            <w:noWrap w:val="0"/>
            <w:vAlign w:val="center"/>
          </w:tcPr>
          <w:p w14:paraId="1648ADF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18083079759</w:t>
            </w:r>
          </w:p>
        </w:tc>
      </w:tr>
      <w:tr w14:paraId="71B25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776BD5C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690837C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38E5000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雷必亮</w:t>
            </w:r>
          </w:p>
        </w:tc>
        <w:tc>
          <w:tcPr>
            <w:tcW w:w="2496" w:type="dxa"/>
            <w:noWrap w:val="0"/>
            <w:vAlign w:val="center"/>
          </w:tcPr>
          <w:p w14:paraId="16C25B4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eastAsia="zh-CN"/>
              </w:rPr>
              <w:t>水利服务中心</w:t>
            </w:r>
            <w:r>
              <w:rPr>
                <w:rFonts w:hint="eastAsia" w:ascii="宋体" w:hAnsi="宋体" w:eastAsia="宋体" w:cs="宋体"/>
                <w:b w:val="0"/>
                <w:bCs w:val="0"/>
                <w:color w:val="auto"/>
                <w:sz w:val="21"/>
                <w:szCs w:val="21"/>
                <w:vertAlign w:val="baseline"/>
                <w:lang w:val="en-US" w:eastAsia="zh-CN"/>
              </w:rPr>
              <w:t>职工</w:t>
            </w:r>
          </w:p>
        </w:tc>
        <w:tc>
          <w:tcPr>
            <w:tcW w:w="1542" w:type="dxa"/>
            <w:noWrap w:val="0"/>
            <w:vAlign w:val="center"/>
          </w:tcPr>
          <w:p w14:paraId="4EEF5D8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18623556300</w:t>
            </w:r>
          </w:p>
        </w:tc>
      </w:tr>
      <w:tr w14:paraId="07D73D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430FA63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68DD459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76CE937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朱占林</w:t>
            </w:r>
          </w:p>
        </w:tc>
        <w:tc>
          <w:tcPr>
            <w:tcW w:w="2496" w:type="dxa"/>
            <w:noWrap w:val="0"/>
            <w:vAlign w:val="center"/>
          </w:tcPr>
          <w:p w14:paraId="5055FB9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应急管理办公室职工</w:t>
            </w:r>
          </w:p>
        </w:tc>
        <w:tc>
          <w:tcPr>
            <w:tcW w:w="1542" w:type="dxa"/>
            <w:noWrap w:val="0"/>
            <w:vAlign w:val="center"/>
          </w:tcPr>
          <w:p w14:paraId="0D4D5F0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15320756388</w:t>
            </w:r>
          </w:p>
        </w:tc>
      </w:tr>
      <w:tr w14:paraId="6FD7A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2FD9338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28E0157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64B42CE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黎磊</w:t>
            </w:r>
          </w:p>
        </w:tc>
        <w:tc>
          <w:tcPr>
            <w:tcW w:w="2496" w:type="dxa"/>
            <w:noWrap w:val="0"/>
            <w:vAlign w:val="center"/>
          </w:tcPr>
          <w:p w14:paraId="638F763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应急管理办公室职工</w:t>
            </w:r>
          </w:p>
        </w:tc>
        <w:tc>
          <w:tcPr>
            <w:tcW w:w="1542" w:type="dxa"/>
            <w:noWrap w:val="0"/>
            <w:vAlign w:val="center"/>
          </w:tcPr>
          <w:p w14:paraId="3FF6481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15310338553</w:t>
            </w:r>
          </w:p>
        </w:tc>
      </w:tr>
      <w:tr w14:paraId="4C09D5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2A475A5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45E1172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340A0CD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唐伟</w:t>
            </w:r>
          </w:p>
        </w:tc>
        <w:tc>
          <w:tcPr>
            <w:tcW w:w="2496" w:type="dxa"/>
            <w:noWrap w:val="0"/>
            <w:vAlign w:val="center"/>
          </w:tcPr>
          <w:p w14:paraId="631D692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应急管理办公室职工</w:t>
            </w:r>
          </w:p>
        </w:tc>
        <w:tc>
          <w:tcPr>
            <w:tcW w:w="1542" w:type="dxa"/>
            <w:noWrap w:val="0"/>
            <w:vAlign w:val="center"/>
          </w:tcPr>
          <w:p w14:paraId="31A321F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18580920976</w:t>
            </w:r>
          </w:p>
        </w:tc>
      </w:tr>
      <w:tr w14:paraId="11C8E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2D3DAAF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298787D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7567E68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蒋杰</w:t>
            </w:r>
          </w:p>
        </w:tc>
        <w:tc>
          <w:tcPr>
            <w:tcW w:w="2496" w:type="dxa"/>
            <w:noWrap w:val="0"/>
            <w:vAlign w:val="center"/>
          </w:tcPr>
          <w:p w14:paraId="44EFA2B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应急管理办公室职工</w:t>
            </w:r>
          </w:p>
        </w:tc>
        <w:tc>
          <w:tcPr>
            <w:tcW w:w="1542" w:type="dxa"/>
            <w:noWrap w:val="0"/>
            <w:vAlign w:val="center"/>
          </w:tcPr>
          <w:p w14:paraId="6A71D364">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18875026954</w:t>
            </w:r>
          </w:p>
        </w:tc>
      </w:tr>
      <w:tr w14:paraId="5E6E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restart"/>
            <w:noWrap w:val="0"/>
            <w:vAlign w:val="center"/>
          </w:tcPr>
          <w:p w14:paraId="1B3D5CBD">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综合协调组</w:t>
            </w:r>
          </w:p>
        </w:tc>
        <w:tc>
          <w:tcPr>
            <w:tcW w:w="1218" w:type="dxa"/>
            <w:noWrap w:val="0"/>
            <w:vAlign w:val="center"/>
          </w:tcPr>
          <w:p w14:paraId="36D70BDE">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组长</w:t>
            </w:r>
          </w:p>
        </w:tc>
        <w:tc>
          <w:tcPr>
            <w:tcW w:w="867" w:type="dxa"/>
            <w:noWrap w:val="0"/>
            <w:vAlign w:val="center"/>
          </w:tcPr>
          <w:p w14:paraId="06EE2DC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涂生洪</w:t>
            </w:r>
          </w:p>
        </w:tc>
        <w:tc>
          <w:tcPr>
            <w:tcW w:w="2496" w:type="dxa"/>
            <w:noWrap w:val="0"/>
            <w:vAlign w:val="center"/>
          </w:tcPr>
          <w:p w14:paraId="3E85D0F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组织</w:t>
            </w:r>
            <w:r>
              <w:rPr>
                <w:rFonts w:hint="eastAsia" w:ascii="宋体" w:hAnsi="宋体" w:eastAsia="宋体" w:cs="宋体"/>
                <w:b w:val="0"/>
                <w:bCs w:val="0"/>
                <w:color w:val="auto"/>
                <w:sz w:val="21"/>
                <w:szCs w:val="21"/>
                <w:vertAlign w:val="baseline"/>
                <w:lang w:eastAsia="zh-CN"/>
              </w:rPr>
              <w:t>委员</w:t>
            </w:r>
          </w:p>
        </w:tc>
        <w:tc>
          <w:tcPr>
            <w:tcW w:w="1542" w:type="dxa"/>
            <w:noWrap w:val="0"/>
            <w:vAlign w:val="center"/>
          </w:tcPr>
          <w:p w14:paraId="31DCC58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13388988776</w:t>
            </w:r>
          </w:p>
        </w:tc>
      </w:tr>
      <w:tr w14:paraId="7ED8B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357FE72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noWrap w:val="0"/>
            <w:vAlign w:val="center"/>
          </w:tcPr>
          <w:p w14:paraId="692AACC2">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副组长</w:t>
            </w:r>
          </w:p>
        </w:tc>
        <w:tc>
          <w:tcPr>
            <w:tcW w:w="867" w:type="dxa"/>
            <w:noWrap w:val="0"/>
            <w:vAlign w:val="center"/>
          </w:tcPr>
          <w:p w14:paraId="78E5AB0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叶小丽</w:t>
            </w:r>
          </w:p>
        </w:tc>
        <w:tc>
          <w:tcPr>
            <w:tcW w:w="2496" w:type="dxa"/>
            <w:noWrap w:val="0"/>
            <w:vAlign w:val="center"/>
          </w:tcPr>
          <w:p w14:paraId="2C14946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eastAsia="zh-CN"/>
              </w:rPr>
              <w:t>党政办</w:t>
            </w:r>
            <w:r>
              <w:rPr>
                <w:rFonts w:hint="eastAsia" w:ascii="宋体" w:hAnsi="宋体" w:eastAsia="宋体" w:cs="宋体"/>
                <w:b w:val="0"/>
                <w:bCs w:val="0"/>
                <w:color w:val="auto"/>
                <w:sz w:val="21"/>
                <w:szCs w:val="21"/>
                <w:vertAlign w:val="baseline"/>
                <w:lang w:val="en-US" w:eastAsia="zh-CN"/>
              </w:rPr>
              <w:t>主任</w:t>
            </w:r>
          </w:p>
        </w:tc>
        <w:tc>
          <w:tcPr>
            <w:tcW w:w="1542" w:type="dxa"/>
            <w:noWrap w:val="0"/>
            <w:vAlign w:val="center"/>
          </w:tcPr>
          <w:p w14:paraId="1CE6A29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17729672123</w:t>
            </w:r>
          </w:p>
        </w:tc>
      </w:tr>
      <w:tr w14:paraId="356E41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09B4113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restart"/>
            <w:noWrap w:val="0"/>
            <w:vAlign w:val="center"/>
          </w:tcPr>
          <w:p w14:paraId="7540878C">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成员</w:t>
            </w:r>
          </w:p>
        </w:tc>
        <w:tc>
          <w:tcPr>
            <w:tcW w:w="867" w:type="dxa"/>
            <w:noWrap w:val="0"/>
            <w:vAlign w:val="center"/>
          </w:tcPr>
          <w:p w14:paraId="17A9469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梅少华</w:t>
            </w:r>
          </w:p>
        </w:tc>
        <w:tc>
          <w:tcPr>
            <w:tcW w:w="2496" w:type="dxa"/>
            <w:noWrap w:val="0"/>
            <w:vAlign w:val="center"/>
          </w:tcPr>
          <w:p w14:paraId="15A34D4C">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党政办职工</w:t>
            </w:r>
          </w:p>
        </w:tc>
        <w:tc>
          <w:tcPr>
            <w:tcW w:w="1542" w:type="dxa"/>
            <w:noWrap w:val="0"/>
            <w:vAlign w:val="center"/>
          </w:tcPr>
          <w:p w14:paraId="7B868E0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13996670899</w:t>
            </w:r>
          </w:p>
        </w:tc>
      </w:tr>
      <w:tr w14:paraId="0199F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27CF417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1DD584F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2F7F2AD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廖文见</w:t>
            </w:r>
          </w:p>
        </w:tc>
        <w:tc>
          <w:tcPr>
            <w:tcW w:w="2496" w:type="dxa"/>
            <w:noWrap w:val="0"/>
            <w:vAlign w:val="center"/>
          </w:tcPr>
          <w:p w14:paraId="08EE07E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党政办职工</w:t>
            </w:r>
          </w:p>
        </w:tc>
        <w:tc>
          <w:tcPr>
            <w:tcW w:w="1542" w:type="dxa"/>
            <w:noWrap w:val="0"/>
            <w:vAlign w:val="center"/>
          </w:tcPr>
          <w:p w14:paraId="0742DE9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15123477834</w:t>
            </w:r>
          </w:p>
        </w:tc>
      </w:tr>
      <w:tr w14:paraId="26F9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4E85AD3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336B72B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1D5D258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尹鑫</w:t>
            </w:r>
          </w:p>
        </w:tc>
        <w:tc>
          <w:tcPr>
            <w:tcW w:w="2496" w:type="dxa"/>
            <w:noWrap w:val="0"/>
            <w:vAlign w:val="center"/>
          </w:tcPr>
          <w:p w14:paraId="3CC3DB0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党政办职工</w:t>
            </w:r>
          </w:p>
        </w:tc>
        <w:tc>
          <w:tcPr>
            <w:tcW w:w="1542" w:type="dxa"/>
            <w:noWrap w:val="0"/>
            <w:vAlign w:val="center"/>
          </w:tcPr>
          <w:p w14:paraId="70FBD33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18696882363</w:t>
            </w:r>
          </w:p>
        </w:tc>
      </w:tr>
      <w:tr w14:paraId="748000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7B20AE6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0F30A11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399B51D1">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邹金利</w:t>
            </w:r>
          </w:p>
        </w:tc>
        <w:tc>
          <w:tcPr>
            <w:tcW w:w="2496" w:type="dxa"/>
            <w:noWrap w:val="0"/>
            <w:vAlign w:val="center"/>
          </w:tcPr>
          <w:p w14:paraId="4B4B407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党政办职工</w:t>
            </w:r>
          </w:p>
        </w:tc>
        <w:tc>
          <w:tcPr>
            <w:tcW w:w="1542" w:type="dxa"/>
            <w:noWrap w:val="0"/>
            <w:vAlign w:val="center"/>
          </w:tcPr>
          <w:p w14:paraId="772DE4EB">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18723603651</w:t>
            </w:r>
          </w:p>
        </w:tc>
      </w:tr>
      <w:tr w14:paraId="177A4B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restart"/>
            <w:noWrap w:val="0"/>
            <w:vAlign w:val="center"/>
          </w:tcPr>
          <w:p w14:paraId="4FC6587D">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eastAsia="zh-CN"/>
              </w:rPr>
              <w:t>警戒疏散组</w:t>
            </w:r>
          </w:p>
        </w:tc>
        <w:tc>
          <w:tcPr>
            <w:tcW w:w="1218" w:type="dxa"/>
            <w:noWrap w:val="0"/>
            <w:vAlign w:val="center"/>
          </w:tcPr>
          <w:p w14:paraId="676C5254">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组长</w:t>
            </w:r>
          </w:p>
        </w:tc>
        <w:tc>
          <w:tcPr>
            <w:tcW w:w="867" w:type="dxa"/>
            <w:noWrap w:val="0"/>
            <w:vAlign w:val="center"/>
          </w:tcPr>
          <w:p w14:paraId="3821D3B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赵勇</w:t>
            </w:r>
          </w:p>
        </w:tc>
        <w:tc>
          <w:tcPr>
            <w:tcW w:w="2496" w:type="dxa"/>
            <w:noWrap w:val="0"/>
            <w:vAlign w:val="center"/>
          </w:tcPr>
          <w:p w14:paraId="2713F97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eastAsia="zh-CN"/>
              </w:rPr>
              <w:t>党委副书记</w:t>
            </w:r>
          </w:p>
        </w:tc>
        <w:tc>
          <w:tcPr>
            <w:tcW w:w="1542" w:type="dxa"/>
            <w:noWrap w:val="0"/>
            <w:vAlign w:val="center"/>
          </w:tcPr>
          <w:p w14:paraId="5DBF887D">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13340302468</w:t>
            </w:r>
          </w:p>
        </w:tc>
      </w:tr>
      <w:tr w14:paraId="14E723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5EFFBCB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noWrap w:val="0"/>
            <w:vAlign w:val="center"/>
          </w:tcPr>
          <w:p w14:paraId="1C99791B">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副组长</w:t>
            </w:r>
          </w:p>
        </w:tc>
        <w:tc>
          <w:tcPr>
            <w:tcW w:w="867" w:type="dxa"/>
            <w:noWrap w:val="0"/>
            <w:vAlign w:val="center"/>
          </w:tcPr>
          <w:p w14:paraId="04F3FFA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罗天玖</w:t>
            </w:r>
          </w:p>
        </w:tc>
        <w:tc>
          <w:tcPr>
            <w:tcW w:w="2496" w:type="dxa"/>
            <w:noWrap w:val="0"/>
            <w:vAlign w:val="center"/>
          </w:tcPr>
          <w:p w14:paraId="5FB2CEE6">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eastAsia="zh-CN"/>
              </w:rPr>
              <w:t>派出所所长</w:t>
            </w:r>
          </w:p>
        </w:tc>
        <w:tc>
          <w:tcPr>
            <w:tcW w:w="1542" w:type="dxa"/>
            <w:noWrap w:val="0"/>
            <w:vAlign w:val="center"/>
          </w:tcPr>
          <w:p w14:paraId="082D781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13996579159</w:t>
            </w:r>
          </w:p>
        </w:tc>
      </w:tr>
      <w:tr w14:paraId="506D4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2BC2489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restart"/>
            <w:noWrap w:val="0"/>
            <w:vAlign w:val="center"/>
          </w:tcPr>
          <w:p w14:paraId="05A8E877">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成员</w:t>
            </w:r>
          </w:p>
        </w:tc>
        <w:tc>
          <w:tcPr>
            <w:tcW w:w="867" w:type="dxa"/>
            <w:noWrap w:val="0"/>
            <w:vAlign w:val="center"/>
          </w:tcPr>
          <w:p w14:paraId="7A082AB9">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谢宗超</w:t>
            </w:r>
          </w:p>
        </w:tc>
        <w:tc>
          <w:tcPr>
            <w:tcW w:w="2496" w:type="dxa"/>
            <w:noWrap w:val="0"/>
            <w:vAlign w:val="center"/>
          </w:tcPr>
          <w:p w14:paraId="2006084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派出所民警</w:t>
            </w:r>
          </w:p>
        </w:tc>
        <w:tc>
          <w:tcPr>
            <w:tcW w:w="1542" w:type="dxa"/>
            <w:noWrap w:val="0"/>
            <w:vAlign w:val="center"/>
          </w:tcPr>
          <w:p w14:paraId="59A5988B">
            <w:pPr>
              <w:keepNext w:val="0"/>
              <w:keepLines w:val="0"/>
              <w:suppressLineNumbers w:val="0"/>
              <w:tabs>
                <w:tab w:val="left" w:pos="3041"/>
              </w:tabs>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15084409772</w:t>
            </w:r>
          </w:p>
        </w:tc>
      </w:tr>
      <w:tr w14:paraId="5D09AF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485969A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45E43EF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685CDE93">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马翔</w:t>
            </w:r>
          </w:p>
        </w:tc>
        <w:tc>
          <w:tcPr>
            <w:tcW w:w="2496" w:type="dxa"/>
            <w:noWrap w:val="0"/>
            <w:vAlign w:val="center"/>
          </w:tcPr>
          <w:p w14:paraId="52EC4B40">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cs="宋体"/>
                <w:b w:val="0"/>
                <w:bCs w:val="0"/>
                <w:color w:val="auto"/>
                <w:sz w:val="21"/>
                <w:szCs w:val="21"/>
                <w:vertAlign w:val="baseline"/>
                <w:lang w:val="en-US" w:eastAsia="zh-CN"/>
              </w:rPr>
              <w:t>派出所民警</w:t>
            </w:r>
          </w:p>
        </w:tc>
        <w:tc>
          <w:tcPr>
            <w:tcW w:w="1542" w:type="dxa"/>
            <w:noWrap w:val="0"/>
            <w:vAlign w:val="center"/>
          </w:tcPr>
          <w:p w14:paraId="4518B258">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18875024295</w:t>
            </w:r>
          </w:p>
        </w:tc>
      </w:tr>
      <w:tr w14:paraId="675A1D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11C7BDD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1DCCA1A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161BC5B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朱占林</w:t>
            </w:r>
          </w:p>
        </w:tc>
        <w:tc>
          <w:tcPr>
            <w:tcW w:w="2496" w:type="dxa"/>
            <w:noWrap w:val="0"/>
            <w:vAlign w:val="center"/>
          </w:tcPr>
          <w:p w14:paraId="56C7D1F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应急管理办公室职工</w:t>
            </w:r>
          </w:p>
        </w:tc>
        <w:tc>
          <w:tcPr>
            <w:tcW w:w="1542" w:type="dxa"/>
            <w:noWrap w:val="0"/>
            <w:vAlign w:val="center"/>
          </w:tcPr>
          <w:p w14:paraId="0EAF458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15320756388</w:t>
            </w:r>
          </w:p>
        </w:tc>
      </w:tr>
      <w:tr w14:paraId="390A41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4CCB280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33EB3DC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5AE805B7">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黎磊</w:t>
            </w:r>
          </w:p>
        </w:tc>
        <w:tc>
          <w:tcPr>
            <w:tcW w:w="2496" w:type="dxa"/>
            <w:noWrap w:val="0"/>
            <w:vAlign w:val="center"/>
          </w:tcPr>
          <w:p w14:paraId="34657F7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应急管理办公室职工</w:t>
            </w:r>
          </w:p>
        </w:tc>
        <w:tc>
          <w:tcPr>
            <w:tcW w:w="1542" w:type="dxa"/>
            <w:noWrap w:val="0"/>
            <w:vAlign w:val="center"/>
          </w:tcPr>
          <w:p w14:paraId="7D41E06A">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15310338553</w:t>
            </w:r>
          </w:p>
        </w:tc>
      </w:tr>
      <w:tr w14:paraId="11BA0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561" w:type="dxa"/>
            <w:vMerge w:val="continue"/>
            <w:noWrap w:val="0"/>
            <w:vAlign w:val="center"/>
          </w:tcPr>
          <w:p w14:paraId="5A5C5B1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1218" w:type="dxa"/>
            <w:vMerge w:val="continue"/>
            <w:noWrap w:val="0"/>
            <w:vAlign w:val="center"/>
          </w:tcPr>
          <w:p w14:paraId="341780F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kern w:val="2"/>
                <w:sz w:val="21"/>
                <w:szCs w:val="21"/>
                <w:lang w:val="en-US" w:eastAsia="zh-CN" w:bidi="ar-SA"/>
              </w:rPr>
            </w:pPr>
          </w:p>
        </w:tc>
        <w:tc>
          <w:tcPr>
            <w:tcW w:w="867" w:type="dxa"/>
            <w:noWrap w:val="0"/>
            <w:vAlign w:val="center"/>
          </w:tcPr>
          <w:p w14:paraId="0F99B37F">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唐伟</w:t>
            </w:r>
          </w:p>
        </w:tc>
        <w:tc>
          <w:tcPr>
            <w:tcW w:w="0" w:type="auto"/>
            <w:noWrap w:val="0"/>
            <w:vAlign w:val="center"/>
          </w:tcPr>
          <w:p w14:paraId="333FFFB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应急管理办公室职工</w:t>
            </w:r>
          </w:p>
        </w:tc>
        <w:tc>
          <w:tcPr>
            <w:tcW w:w="0" w:type="auto"/>
            <w:noWrap w:val="0"/>
            <w:vAlign w:val="center"/>
          </w:tcPr>
          <w:p w14:paraId="2E732585">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18580920976</w:t>
            </w:r>
          </w:p>
        </w:tc>
      </w:tr>
    </w:tbl>
    <w:p w14:paraId="10F14431">
      <w:pPr>
        <w:pStyle w:val="2"/>
        <w:rPr>
          <w:rFonts w:hint="eastAsia" w:ascii="宋体" w:hAnsi="宋体" w:cs="宋体"/>
          <w:b/>
          <w:bCs/>
          <w:color w:val="FF0000"/>
          <w:kern w:val="0"/>
          <w:sz w:val="24"/>
        </w:rPr>
      </w:pPr>
    </w:p>
    <w:p w14:paraId="0F5AB690">
      <w:pPr>
        <w:pStyle w:val="2"/>
        <w:rPr>
          <w:rFonts w:hint="eastAsia" w:ascii="宋体" w:hAnsi="宋体" w:cs="宋体"/>
          <w:b/>
          <w:bCs/>
          <w:color w:val="FF0000"/>
          <w:kern w:val="0"/>
          <w:sz w:val="24"/>
        </w:rPr>
      </w:pPr>
    </w:p>
    <w:p w14:paraId="32BF5F5C">
      <w:pPr>
        <w:widowControl/>
        <w:jc w:val="center"/>
        <w:rPr>
          <w:rFonts w:ascii="仿宋_GB2312" w:hAnsi="宋体" w:eastAsia="仿宋_GB2312" w:cs="宋体"/>
          <w:color w:val="FF0000"/>
          <w:kern w:val="0"/>
          <w:sz w:val="24"/>
        </w:rPr>
        <w:sectPr>
          <w:footerReference r:id="rId8" w:type="default"/>
          <w:pgSz w:w="11906" w:h="16838"/>
          <w:pgMar w:top="1327" w:right="1412" w:bottom="1327" w:left="1406" w:header="720" w:footer="720" w:gutter="0"/>
          <w:pgNumType w:fmt="decimal"/>
          <w:cols w:space="720" w:num="1"/>
          <w:docGrid w:type="lines" w:linePitch="312" w:charSpace="0"/>
        </w:sectPr>
      </w:pPr>
    </w:p>
    <w:p w14:paraId="1584FDA7">
      <w:pPr>
        <w:pStyle w:val="5"/>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color w:val="auto"/>
          <w:sz w:val="28"/>
          <w:szCs w:val="28"/>
          <w:lang w:val="en-US" w:eastAsia="zh-CN"/>
        </w:rPr>
      </w:pPr>
      <w:bookmarkStart w:id="174" w:name="_Toc21682"/>
      <w:bookmarkStart w:id="175" w:name="_Toc7686"/>
      <w:r>
        <w:rPr>
          <w:rFonts w:hint="eastAsia" w:ascii="宋体" w:hAnsi="宋体" w:eastAsia="宋体" w:cs="宋体"/>
          <w:color w:val="auto"/>
          <w:sz w:val="28"/>
          <w:szCs w:val="28"/>
          <w:lang w:val="en-US" w:eastAsia="zh-CN"/>
        </w:rPr>
        <w:t>附件</w:t>
      </w:r>
      <w:bookmarkEnd w:id="174"/>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河堰镇</w:t>
      </w:r>
      <w:r>
        <w:rPr>
          <w:rFonts w:hint="eastAsia" w:ascii="宋体" w:hAnsi="宋体" w:eastAsia="宋体" w:cs="宋体"/>
          <w:color w:val="auto"/>
          <w:sz w:val="28"/>
          <w:szCs w:val="28"/>
          <w:lang w:val="en-US" w:eastAsia="zh-CN"/>
        </w:rPr>
        <w:t>突发环境事件应急物资清单</w:t>
      </w:r>
      <w:bookmarkEnd w:id="175"/>
    </w:p>
    <w:p w14:paraId="6E4FAB8F">
      <w:pPr>
        <w:keepNext/>
        <w:keepLines/>
        <w:pageBreakBefore w:val="0"/>
        <w:widowControl w:val="0"/>
        <w:kinsoku/>
        <w:wordWrap/>
        <w:overflowPunct/>
        <w:topLinePunct w:val="0"/>
        <w:autoSpaceDE/>
        <w:autoSpaceDN/>
        <w:bidi w:val="0"/>
        <w:adjustRightInd/>
        <w:snapToGrid/>
        <w:spacing w:before="156" w:beforeLines="50" w:after="156" w:afterLines="50" w:line="360" w:lineRule="auto"/>
        <w:jc w:val="center"/>
        <w:textAlignment w:val="auto"/>
        <w:outlineLvl w:val="9"/>
        <w:rPr>
          <w:rFonts w:hint="eastAsia" w:ascii="宋体" w:hAnsi="宋体" w:eastAsia="宋体" w:cs="宋体"/>
          <w:b/>
          <w:bCs/>
          <w:color w:val="auto"/>
          <w:sz w:val="24"/>
          <w:szCs w:val="24"/>
        </w:rPr>
      </w:pPr>
      <w:bookmarkStart w:id="176" w:name="_Toc18193"/>
      <w:r>
        <w:rPr>
          <w:rFonts w:hint="eastAsia" w:ascii="宋体" w:hAnsi="宋体" w:cs="宋体"/>
          <w:b/>
          <w:bCs/>
          <w:color w:val="auto"/>
          <w:sz w:val="24"/>
          <w:szCs w:val="24"/>
          <w:lang w:eastAsia="zh-CN"/>
        </w:rPr>
        <w:t>河堰镇</w:t>
      </w:r>
      <w:r>
        <w:rPr>
          <w:rFonts w:hint="eastAsia" w:ascii="宋体" w:hAnsi="宋体" w:eastAsia="宋体" w:cs="宋体"/>
          <w:b/>
          <w:bCs/>
          <w:color w:val="auto"/>
          <w:sz w:val="24"/>
          <w:szCs w:val="24"/>
        </w:rPr>
        <w:t>突发环境事件应急物资清单</w:t>
      </w:r>
      <w:bookmarkEnd w:id="176"/>
    </w:p>
    <w:tbl>
      <w:tblPr>
        <w:tblStyle w:val="15"/>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44"/>
        <w:gridCol w:w="785"/>
        <w:gridCol w:w="2015"/>
        <w:gridCol w:w="1376"/>
        <w:gridCol w:w="1916"/>
      </w:tblGrid>
      <w:tr w14:paraId="0BFC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2A99280F">
            <w:pPr>
              <w:pStyle w:val="26"/>
              <w:keepNext w:val="0"/>
              <w:keepLines w:val="0"/>
              <w:pageBreakBefore w:val="0"/>
              <w:widowControl w:val="0"/>
              <w:kinsoku/>
              <w:wordWrap/>
              <w:overflowPunct/>
              <w:topLinePunct w:val="0"/>
              <w:autoSpaceDE/>
              <w:autoSpaceDN/>
              <w:bidi w:val="0"/>
              <w:adjustRightInd w:val="0"/>
              <w:snapToGrid w:val="0"/>
              <w:spacing w:line="240" w:lineRule="atLeast"/>
              <w:ind w:lef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769" w:type="dxa"/>
            <w:noWrap w:val="0"/>
            <w:vAlign w:val="center"/>
          </w:tcPr>
          <w:p w14:paraId="7E19A0A7">
            <w:pPr>
              <w:pStyle w:val="26"/>
              <w:keepNext w:val="0"/>
              <w:keepLines w:val="0"/>
              <w:pageBreakBefore w:val="0"/>
              <w:widowControl w:val="0"/>
              <w:kinsoku/>
              <w:wordWrap/>
              <w:overflowPunct/>
              <w:topLinePunct w:val="0"/>
              <w:autoSpaceDE/>
              <w:autoSpaceDN/>
              <w:bidi w:val="0"/>
              <w:adjustRightInd w:val="0"/>
              <w:snapToGrid w:val="0"/>
              <w:spacing w:line="240" w:lineRule="atLeast"/>
              <w:ind w:lef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物资名称</w:t>
            </w:r>
          </w:p>
        </w:tc>
        <w:tc>
          <w:tcPr>
            <w:tcW w:w="753" w:type="dxa"/>
            <w:noWrap w:val="0"/>
            <w:vAlign w:val="center"/>
          </w:tcPr>
          <w:p w14:paraId="11B77BDF">
            <w:pPr>
              <w:pStyle w:val="26"/>
              <w:keepNext w:val="0"/>
              <w:keepLines w:val="0"/>
              <w:pageBreakBefore w:val="0"/>
              <w:widowControl w:val="0"/>
              <w:kinsoku/>
              <w:wordWrap/>
              <w:overflowPunct/>
              <w:topLinePunct w:val="0"/>
              <w:autoSpaceDE/>
              <w:autoSpaceDN/>
              <w:bidi w:val="0"/>
              <w:adjustRightInd w:val="0"/>
              <w:snapToGrid w:val="0"/>
              <w:spacing w:line="240" w:lineRule="atLeast"/>
              <w:ind w:lef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数量</w:t>
            </w:r>
          </w:p>
        </w:tc>
        <w:tc>
          <w:tcPr>
            <w:tcW w:w="1933" w:type="dxa"/>
            <w:noWrap w:val="0"/>
            <w:vAlign w:val="center"/>
          </w:tcPr>
          <w:p w14:paraId="46AE643A">
            <w:pPr>
              <w:pStyle w:val="26"/>
              <w:keepNext w:val="0"/>
              <w:keepLines w:val="0"/>
              <w:pageBreakBefore w:val="0"/>
              <w:widowControl w:val="0"/>
              <w:kinsoku/>
              <w:wordWrap/>
              <w:overflowPunct/>
              <w:topLinePunct w:val="0"/>
              <w:autoSpaceDE/>
              <w:autoSpaceDN/>
              <w:bidi w:val="0"/>
              <w:adjustRightInd w:val="0"/>
              <w:snapToGrid w:val="0"/>
              <w:spacing w:line="240" w:lineRule="atLeast"/>
              <w:ind w:lef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存放地点</w:t>
            </w:r>
          </w:p>
        </w:tc>
        <w:tc>
          <w:tcPr>
            <w:tcW w:w="1235" w:type="dxa"/>
            <w:noWrap w:val="0"/>
            <w:vAlign w:val="center"/>
          </w:tcPr>
          <w:p w14:paraId="3982B42D">
            <w:pPr>
              <w:pStyle w:val="26"/>
              <w:keepNext w:val="0"/>
              <w:keepLines w:val="0"/>
              <w:pageBreakBefore w:val="0"/>
              <w:widowControl w:val="0"/>
              <w:kinsoku/>
              <w:wordWrap/>
              <w:overflowPunct/>
              <w:topLinePunct w:val="0"/>
              <w:autoSpaceDE/>
              <w:autoSpaceDN/>
              <w:bidi w:val="0"/>
              <w:adjustRightInd w:val="0"/>
              <w:snapToGrid w:val="0"/>
              <w:spacing w:line="240" w:lineRule="atLeast"/>
              <w:ind w:left="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w:t>
            </w:r>
          </w:p>
        </w:tc>
        <w:tc>
          <w:tcPr>
            <w:tcW w:w="1719" w:type="dxa"/>
            <w:noWrap w:val="0"/>
            <w:vAlign w:val="center"/>
          </w:tcPr>
          <w:p w14:paraId="627E40A6">
            <w:pPr>
              <w:pStyle w:val="26"/>
              <w:keepNext w:val="0"/>
              <w:keepLines w:val="0"/>
              <w:pageBreakBefore w:val="0"/>
              <w:widowControl w:val="0"/>
              <w:kinsoku/>
              <w:wordWrap/>
              <w:overflowPunct/>
              <w:topLinePunct w:val="0"/>
              <w:autoSpaceDE/>
              <w:autoSpaceDN/>
              <w:bidi w:val="0"/>
              <w:adjustRightInd w:val="0"/>
              <w:snapToGrid w:val="0"/>
              <w:spacing w:line="240" w:lineRule="atLeast"/>
              <w:ind w:left="0"/>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联系电话</w:t>
            </w:r>
          </w:p>
        </w:tc>
      </w:tr>
      <w:tr w14:paraId="6B69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1A3F62FE">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1769" w:type="dxa"/>
            <w:noWrap w:val="0"/>
            <w:vAlign w:val="center"/>
          </w:tcPr>
          <w:p w14:paraId="29B8A00E">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油锯</w:t>
            </w:r>
          </w:p>
        </w:tc>
        <w:tc>
          <w:tcPr>
            <w:tcW w:w="753" w:type="dxa"/>
            <w:noWrap w:val="0"/>
            <w:vAlign w:val="center"/>
          </w:tcPr>
          <w:p w14:paraId="461259A3">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9台</w:t>
            </w:r>
          </w:p>
        </w:tc>
        <w:tc>
          <w:tcPr>
            <w:tcW w:w="1933" w:type="dxa"/>
            <w:noWrap w:val="0"/>
            <w:vAlign w:val="center"/>
          </w:tcPr>
          <w:p w14:paraId="160D3E7A">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6D785979">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6B2FFE9B">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116D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45ACD9EF">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w:t>
            </w:r>
          </w:p>
        </w:tc>
        <w:tc>
          <w:tcPr>
            <w:tcW w:w="1769" w:type="dxa"/>
            <w:noWrap w:val="0"/>
            <w:vAlign w:val="center"/>
          </w:tcPr>
          <w:p w14:paraId="1C3C04C0">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灭火器</w:t>
            </w:r>
          </w:p>
        </w:tc>
        <w:tc>
          <w:tcPr>
            <w:tcW w:w="753" w:type="dxa"/>
            <w:noWrap w:val="0"/>
            <w:vAlign w:val="center"/>
          </w:tcPr>
          <w:p w14:paraId="194E76A1">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6个</w:t>
            </w:r>
          </w:p>
        </w:tc>
        <w:tc>
          <w:tcPr>
            <w:tcW w:w="1933" w:type="dxa"/>
            <w:noWrap w:val="0"/>
            <w:vAlign w:val="center"/>
          </w:tcPr>
          <w:p w14:paraId="36EEC694">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4099AABA">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23B5E82F">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7083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20EE0E49">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w:t>
            </w:r>
          </w:p>
        </w:tc>
        <w:tc>
          <w:tcPr>
            <w:tcW w:w="1769" w:type="dxa"/>
            <w:noWrap w:val="0"/>
            <w:vAlign w:val="center"/>
          </w:tcPr>
          <w:p w14:paraId="074559E7">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铁把弯刀</w:t>
            </w:r>
          </w:p>
        </w:tc>
        <w:tc>
          <w:tcPr>
            <w:tcW w:w="753" w:type="dxa"/>
            <w:noWrap w:val="0"/>
            <w:vAlign w:val="center"/>
          </w:tcPr>
          <w:p w14:paraId="6D30267C">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30把</w:t>
            </w:r>
          </w:p>
        </w:tc>
        <w:tc>
          <w:tcPr>
            <w:tcW w:w="1933" w:type="dxa"/>
            <w:noWrap w:val="0"/>
            <w:vAlign w:val="center"/>
          </w:tcPr>
          <w:p w14:paraId="08CF9695">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50DED4CC">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3F368B2E">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339A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536A040A">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p>
        </w:tc>
        <w:tc>
          <w:tcPr>
            <w:tcW w:w="1769" w:type="dxa"/>
            <w:noWrap w:val="0"/>
            <w:vAlign w:val="center"/>
          </w:tcPr>
          <w:p w14:paraId="4EB71916">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木把长弯刀</w:t>
            </w:r>
          </w:p>
        </w:tc>
        <w:tc>
          <w:tcPr>
            <w:tcW w:w="753" w:type="dxa"/>
            <w:noWrap w:val="0"/>
            <w:vAlign w:val="center"/>
          </w:tcPr>
          <w:p w14:paraId="5A35FF3B">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12把</w:t>
            </w:r>
          </w:p>
        </w:tc>
        <w:tc>
          <w:tcPr>
            <w:tcW w:w="1933" w:type="dxa"/>
            <w:noWrap w:val="0"/>
            <w:vAlign w:val="center"/>
          </w:tcPr>
          <w:p w14:paraId="08DB7049">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1C375A44">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79CBC3B8">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59E6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5975651F">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w:t>
            </w:r>
          </w:p>
        </w:tc>
        <w:tc>
          <w:tcPr>
            <w:tcW w:w="1769" w:type="dxa"/>
            <w:noWrap w:val="0"/>
            <w:vAlign w:val="center"/>
          </w:tcPr>
          <w:p w14:paraId="72EE321E">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木把短弯刀</w:t>
            </w:r>
          </w:p>
        </w:tc>
        <w:tc>
          <w:tcPr>
            <w:tcW w:w="753" w:type="dxa"/>
            <w:noWrap w:val="0"/>
            <w:vAlign w:val="center"/>
          </w:tcPr>
          <w:p w14:paraId="720CED56">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15把</w:t>
            </w:r>
          </w:p>
        </w:tc>
        <w:tc>
          <w:tcPr>
            <w:tcW w:w="1933" w:type="dxa"/>
            <w:noWrap w:val="0"/>
            <w:vAlign w:val="center"/>
          </w:tcPr>
          <w:p w14:paraId="7C2C814C">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7B0CC19E">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0340181C">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37E8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30846358">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w:t>
            </w:r>
          </w:p>
        </w:tc>
        <w:tc>
          <w:tcPr>
            <w:tcW w:w="1769" w:type="dxa"/>
            <w:noWrap w:val="0"/>
            <w:vAlign w:val="center"/>
          </w:tcPr>
          <w:p w14:paraId="6669E094">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防火服</w:t>
            </w:r>
          </w:p>
        </w:tc>
        <w:tc>
          <w:tcPr>
            <w:tcW w:w="753" w:type="dxa"/>
            <w:noWrap w:val="0"/>
            <w:vAlign w:val="center"/>
          </w:tcPr>
          <w:p w14:paraId="0815CA73">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28件</w:t>
            </w:r>
          </w:p>
        </w:tc>
        <w:tc>
          <w:tcPr>
            <w:tcW w:w="1933" w:type="dxa"/>
            <w:noWrap w:val="0"/>
            <w:vAlign w:val="center"/>
          </w:tcPr>
          <w:p w14:paraId="43C396C2">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5E7599CD">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043D3A9D">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23C9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6CE02EE8">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w:t>
            </w:r>
          </w:p>
        </w:tc>
        <w:tc>
          <w:tcPr>
            <w:tcW w:w="1769" w:type="dxa"/>
            <w:noWrap w:val="0"/>
            <w:vAlign w:val="center"/>
          </w:tcPr>
          <w:p w14:paraId="4574F5D7">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铁扫把</w:t>
            </w:r>
          </w:p>
        </w:tc>
        <w:tc>
          <w:tcPr>
            <w:tcW w:w="753" w:type="dxa"/>
            <w:noWrap w:val="0"/>
            <w:vAlign w:val="center"/>
          </w:tcPr>
          <w:p w14:paraId="671476FE">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100把</w:t>
            </w:r>
          </w:p>
        </w:tc>
        <w:tc>
          <w:tcPr>
            <w:tcW w:w="1933" w:type="dxa"/>
            <w:noWrap w:val="0"/>
            <w:vAlign w:val="center"/>
          </w:tcPr>
          <w:p w14:paraId="123A4118">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6F443B75">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197969C6">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3739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6C0D461E">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w:t>
            </w:r>
          </w:p>
        </w:tc>
        <w:tc>
          <w:tcPr>
            <w:tcW w:w="1769" w:type="dxa"/>
            <w:noWrap w:val="0"/>
            <w:vAlign w:val="center"/>
          </w:tcPr>
          <w:p w14:paraId="3A12A1F1">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橡胶扫把</w:t>
            </w:r>
          </w:p>
        </w:tc>
        <w:tc>
          <w:tcPr>
            <w:tcW w:w="753" w:type="dxa"/>
            <w:noWrap w:val="0"/>
            <w:vAlign w:val="center"/>
          </w:tcPr>
          <w:p w14:paraId="497DE146">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100把</w:t>
            </w:r>
          </w:p>
        </w:tc>
        <w:tc>
          <w:tcPr>
            <w:tcW w:w="1933" w:type="dxa"/>
            <w:noWrap w:val="0"/>
            <w:vAlign w:val="center"/>
          </w:tcPr>
          <w:p w14:paraId="6B60777D">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5A046E67">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1229BAA1">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4637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1A553FCF">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9</w:t>
            </w:r>
          </w:p>
        </w:tc>
        <w:tc>
          <w:tcPr>
            <w:tcW w:w="1769" w:type="dxa"/>
            <w:noWrap w:val="0"/>
            <w:vAlign w:val="center"/>
          </w:tcPr>
          <w:p w14:paraId="19E42719">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木把铁铲</w:t>
            </w:r>
          </w:p>
        </w:tc>
        <w:tc>
          <w:tcPr>
            <w:tcW w:w="753" w:type="dxa"/>
            <w:noWrap w:val="0"/>
            <w:vAlign w:val="center"/>
          </w:tcPr>
          <w:p w14:paraId="1FD01727">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3把</w:t>
            </w:r>
          </w:p>
        </w:tc>
        <w:tc>
          <w:tcPr>
            <w:tcW w:w="1933" w:type="dxa"/>
            <w:noWrap w:val="0"/>
            <w:vAlign w:val="center"/>
          </w:tcPr>
          <w:p w14:paraId="3C79A9F6">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7A4A8B8B">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28FDDDB5">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1F57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059883B1">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w:t>
            </w:r>
          </w:p>
        </w:tc>
        <w:tc>
          <w:tcPr>
            <w:tcW w:w="1769" w:type="dxa"/>
            <w:noWrap w:val="0"/>
            <w:vAlign w:val="center"/>
          </w:tcPr>
          <w:p w14:paraId="7F14B670">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折叠行军床</w:t>
            </w:r>
          </w:p>
        </w:tc>
        <w:tc>
          <w:tcPr>
            <w:tcW w:w="753" w:type="dxa"/>
            <w:noWrap w:val="0"/>
            <w:vAlign w:val="center"/>
          </w:tcPr>
          <w:p w14:paraId="11C7BFA6">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6个</w:t>
            </w:r>
          </w:p>
        </w:tc>
        <w:tc>
          <w:tcPr>
            <w:tcW w:w="1933" w:type="dxa"/>
            <w:noWrap w:val="0"/>
            <w:vAlign w:val="center"/>
          </w:tcPr>
          <w:p w14:paraId="577E2DAB">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7010F1A0">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303988D2">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7F60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5E50D369">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11</w:t>
            </w:r>
          </w:p>
        </w:tc>
        <w:tc>
          <w:tcPr>
            <w:tcW w:w="1769" w:type="dxa"/>
            <w:noWrap w:val="0"/>
            <w:vAlign w:val="center"/>
          </w:tcPr>
          <w:p w14:paraId="51CFA05F">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往复式水枪</w:t>
            </w:r>
          </w:p>
        </w:tc>
        <w:tc>
          <w:tcPr>
            <w:tcW w:w="753" w:type="dxa"/>
            <w:noWrap w:val="0"/>
            <w:vAlign w:val="center"/>
          </w:tcPr>
          <w:p w14:paraId="3C38DCFE">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10个</w:t>
            </w:r>
          </w:p>
        </w:tc>
        <w:tc>
          <w:tcPr>
            <w:tcW w:w="1933" w:type="dxa"/>
            <w:noWrap w:val="0"/>
            <w:vAlign w:val="center"/>
          </w:tcPr>
          <w:p w14:paraId="39D30DE3">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59F844D2">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1FDCDE1A">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6DF6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25560E8F">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12</w:t>
            </w:r>
          </w:p>
        </w:tc>
        <w:tc>
          <w:tcPr>
            <w:tcW w:w="1769" w:type="dxa"/>
            <w:noWrap w:val="0"/>
            <w:vAlign w:val="center"/>
          </w:tcPr>
          <w:p w14:paraId="07BEAC50">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风力灭火机</w:t>
            </w:r>
          </w:p>
        </w:tc>
        <w:tc>
          <w:tcPr>
            <w:tcW w:w="753" w:type="dxa"/>
            <w:noWrap w:val="0"/>
            <w:vAlign w:val="center"/>
          </w:tcPr>
          <w:p w14:paraId="5A481652">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3个</w:t>
            </w:r>
          </w:p>
        </w:tc>
        <w:tc>
          <w:tcPr>
            <w:tcW w:w="1933" w:type="dxa"/>
            <w:noWrap w:val="0"/>
            <w:vAlign w:val="center"/>
          </w:tcPr>
          <w:p w14:paraId="17D15D2E">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56B287F5">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21B8ADD0">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238D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1CB0FADA">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13</w:t>
            </w:r>
          </w:p>
        </w:tc>
        <w:tc>
          <w:tcPr>
            <w:tcW w:w="1769" w:type="dxa"/>
            <w:noWrap w:val="0"/>
            <w:vAlign w:val="center"/>
          </w:tcPr>
          <w:p w14:paraId="1D3D4AAB">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风水灭火机</w:t>
            </w:r>
          </w:p>
        </w:tc>
        <w:tc>
          <w:tcPr>
            <w:tcW w:w="753" w:type="dxa"/>
            <w:noWrap w:val="0"/>
            <w:vAlign w:val="center"/>
          </w:tcPr>
          <w:p w14:paraId="281BA430">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3个</w:t>
            </w:r>
          </w:p>
        </w:tc>
        <w:tc>
          <w:tcPr>
            <w:tcW w:w="1933" w:type="dxa"/>
            <w:noWrap w:val="0"/>
            <w:vAlign w:val="center"/>
          </w:tcPr>
          <w:p w14:paraId="62F0B77A">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7A824B92">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25C91378">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017E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5" w:type="dxa"/>
            <w:noWrap w:val="0"/>
            <w:vAlign w:val="center"/>
          </w:tcPr>
          <w:p w14:paraId="1AAA8D4C">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14</w:t>
            </w:r>
          </w:p>
        </w:tc>
        <w:tc>
          <w:tcPr>
            <w:tcW w:w="1769" w:type="dxa"/>
            <w:noWrap w:val="0"/>
            <w:vAlign w:val="center"/>
          </w:tcPr>
          <w:p w14:paraId="5542AB92">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胶鞋</w:t>
            </w:r>
          </w:p>
        </w:tc>
        <w:tc>
          <w:tcPr>
            <w:tcW w:w="753" w:type="dxa"/>
            <w:noWrap w:val="0"/>
            <w:vAlign w:val="center"/>
          </w:tcPr>
          <w:p w14:paraId="6AF1735D">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45双</w:t>
            </w:r>
          </w:p>
        </w:tc>
        <w:tc>
          <w:tcPr>
            <w:tcW w:w="1933" w:type="dxa"/>
            <w:noWrap w:val="0"/>
            <w:vAlign w:val="center"/>
          </w:tcPr>
          <w:p w14:paraId="2E6C2F19">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235" w:type="dxa"/>
            <w:noWrap w:val="0"/>
            <w:vAlign w:val="center"/>
          </w:tcPr>
          <w:p w14:paraId="14DA0C24">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719" w:type="dxa"/>
            <w:noWrap w:val="0"/>
            <w:vAlign w:val="center"/>
          </w:tcPr>
          <w:p w14:paraId="69608EF4">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4708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noWrap w:val="0"/>
            <w:vAlign w:val="center"/>
          </w:tcPr>
          <w:p w14:paraId="575F7998">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15</w:t>
            </w:r>
          </w:p>
        </w:tc>
        <w:tc>
          <w:tcPr>
            <w:tcW w:w="0" w:type="auto"/>
            <w:noWrap w:val="0"/>
            <w:vAlign w:val="center"/>
          </w:tcPr>
          <w:p w14:paraId="4C874167">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手套</w:t>
            </w:r>
          </w:p>
        </w:tc>
        <w:tc>
          <w:tcPr>
            <w:tcW w:w="0" w:type="auto"/>
            <w:noWrap w:val="0"/>
            <w:vAlign w:val="center"/>
          </w:tcPr>
          <w:p w14:paraId="3F47AFAC">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40双</w:t>
            </w:r>
          </w:p>
        </w:tc>
        <w:tc>
          <w:tcPr>
            <w:tcW w:w="0" w:type="auto"/>
            <w:noWrap w:val="0"/>
            <w:vAlign w:val="center"/>
          </w:tcPr>
          <w:p w14:paraId="56F29AB3">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320" w:type="dxa"/>
            <w:noWrap w:val="0"/>
            <w:vAlign w:val="center"/>
          </w:tcPr>
          <w:p w14:paraId="4D04BC88">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838" w:type="dxa"/>
            <w:noWrap w:val="0"/>
            <w:vAlign w:val="center"/>
          </w:tcPr>
          <w:p w14:paraId="38C45B52">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06FD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noWrap w:val="0"/>
            <w:vAlign w:val="center"/>
          </w:tcPr>
          <w:p w14:paraId="5E4D019F">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16</w:t>
            </w:r>
          </w:p>
        </w:tc>
        <w:tc>
          <w:tcPr>
            <w:tcW w:w="0" w:type="auto"/>
            <w:noWrap w:val="0"/>
            <w:vAlign w:val="center"/>
          </w:tcPr>
          <w:p w14:paraId="5F1DF138">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喊话器</w:t>
            </w:r>
          </w:p>
        </w:tc>
        <w:tc>
          <w:tcPr>
            <w:tcW w:w="0" w:type="auto"/>
            <w:noWrap w:val="0"/>
            <w:vAlign w:val="center"/>
          </w:tcPr>
          <w:p w14:paraId="3946A1C3">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3个</w:t>
            </w:r>
          </w:p>
        </w:tc>
        <w:tc>
          <w:tcPr>
            <w:tcW w:w="0" w:type="auto"/>
            <w:noWrap w:val="0"/>
            <w:vAlign w:val="center"/>
          </w:tcPr>
          <w:p w14:paraId="183FEC3B">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320" w:type="dxa"/>
            <w:noWrap w:val="0"/>
            <w:vAlign w:val="center"/>
          </w:tcPr>
          <w:p w14:paraId="53478ACA">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838" w:type="dxa"/>
            <w:noWrap w:val="0"/>
            <w:vAlign w:val="center"/>
          </w:tcPr>
          <w:p w14:paraId="36E112FE">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3196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noWrap w:val="0"/>
            <w:vAlign w:val="center"/>
          </w:tcPr>
          <w:p w14:paraId="05DCB768">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17</w:t>
            </w:r>
          </w:p>
        </w:tc>
        <w:tc>
          <w:tcPr>
            <w:tcW w:w="0" w:type="auto"/>
            <w:noWrap w:val="0"/>
            <w:vAlign w:val="center"/>
          </w:tcPr>
          <w:p w14:paraId="32CDBDFC">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充气垫</w:t>
            </w:r>
          </w:p>
        </w:tc>
        <w:tc>
          <w:tcPr>
            <w:tcW w:w="0" w:type="auto"/>
            <w:noWrap w:val="0"/>
            <w:vAlign w:val="center"/>
          </w:tcPr>
          <w:p w14:paraId="3EFA6811">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5个</w:t>
            </w:r>
          </w:p>
        </w:tc>
        <w:tc>
          <w:tcPr>
            <w:tcW w:w="0" w:type="auto"/>
            <w:noWrap w:val="0"/>
            <w:vAlign w:val="center"/>
          </w:tcPr>
          <w:p w14:paraId="2BE5335B">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320" w:type="dxa"/>
            <w:noWrap w:val="0"/>
            <w:vAlign w:val="center"/>
          </w:tcPr>
          <w:p w14:paraId="3483A47F">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838" w:type="dxa"/>
            <w:noWrap w:val="0"/>
            <w:vAlign w:val="center"/>
          </w:tcPr>
          <w:p w14:paraId="52B78982">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72BC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noWrap w:val="0"/>
            <w:vAlign w:val="center"/>
          </w:tcPr>
          <w:p w14:paraId="1774DF19">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18</w:t>
            </w:r>
          </w:p>
        </w:tc>
        <w:tc>
          <w:tcPr>
            <w:tcW w:w="0" w:type="auto"/>
            <w:noWrap w:val="0"/>
            <w:vAlign w:val="center"/>
          </w:tcPr>
          <w:p w14:paraId="68011E01">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救灾帐篷</w:t>
            </w:r>
          </w:p>
        </w:tc>
        <w:tc>
          <w:tcPr>
            <w:tcW w:w="0" w:type="auto"/>
            <w:noWrap w:val="0"/>
            <w:vAlign w:val="center"/>
          </w:tcPr>
          <w:p w14:paraId="295BBC9B">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5个</w:t>
            </w:r>
          </w:p>
        </w:tc>
        <w:tc>
          <w:tcPr>
            <w:tcW w:w="0" w:type="auto"/>
            <w:noWrap w:val="0"/>
            <w:vAlign w:val="center"/>
          </w:tcPr>
          <w:p w14:paraId="45EAA308">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320" w:type="dxa"/>
            <w:noWrap w:val="0"/>
            <w:vAlign w:val="center"/>
          </w:tcPr>
          <w:p w14:paraId="53B5547C">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838" w:type="dxa"/>
            <w:noWrap w:val="0"/>
            <w:vAlign w:val="center"/>
          </w:tcPr>
          <w:p w14:paraId="263878A4">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r w14:paraId="282B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noWrap w:val="0"/>
            <w:vAlign w:val="center"/>
          </w:tcPr>
          <w:p w14:paraId="43B6F023">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19</w:t>
            </w:r>
          </w:p>
        </w:tc>
        <w:tc>
          <w:tcPr>
            <w:tcW w:w="0" w:type="auto"/>
            <w:noWrap w:val="0"/>
            <w:vAlign w:val="center"/>
          </w:tcPr>
          <w:p w14:paraId="36FDBBCF">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防潮垫</w:t>
            </w:r>
          </w:p>
        </w:tc>
        <w:tc>
          <w:tcPr>
            <w:tcW w:w="0" w:type="auto"/>
            <w:noWrap w:val="0"/>
            <w:vAlign w:val="center"/>
          </w:tcPr>
          <w:p w14:paraId="7D33F53E">
            <w:pPr>
              <w:pStyle w:val="2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7个</w:t>
            </w:r>
          </w:p>
        </w:tc>
        <w:tc>
          <w:tcPr>
            <w:tcW w:w="0" w:type="auto"/>
            <w:noWrap w:val="0"/>
            <w:vAlign w:val="center"/>
          </w:tcPr>
          <w:p w14:paraId="77F0AEE7">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应急物资储备仓库</w:t>
            </w:r>
          </w:p>
        </w:tc>
        <w:tc>
          <w:tcPr>
            <w:tcW w:w="1320" w:type="dxa"/>
            <w:noWrap w:val="0"/>
            <w:vAlign w:val="center"/>
          </w:tcPr>
          <w:p w14:paraId="5AFFC734">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唐伟</w:t>
            </w:r>
          </w:p>
        </w:tc>
        <w:tc>
          <w:tcPr>
            <w:tcW w:w="1838" w:type="dxa"/>
            <w:noWrap w:val="0"/>
            <w:vAlign w:val="center"/>
          </w:tcPr>
          <w:p w14:paraId="39193582">
            <w:pPr>
              <w:keepNext w:val="0"/>
              <w:keepLines w:val="0"/>
              <w:pageBreakBefore w:val="0"/>
              <w:widowControl w:val="0"/>
              <w:kinsoku/>
              <w:wordWrap/>
              <w:overflowPunct/>
              <w:topLinePunct w:val="0"/>
              <w:autoSpaceDE/>
              <w:autoSpaceDN/>
              <w:bidi w:val="0"/>
              <w:adjustRightInd w:val="0"/>
              <w:snapToGrid w:val="0"/>
              <w:spacing w:line="240" w:lineRule="atLeast"/>
              <w:ind w:left="0" w:leftChars="0"/>
              <w:jc w:val="center"/>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18580920976</w:t>
            </w:r>
          </w:p>
        </w:tc>
      </w:tr>
    </w:tbl>
    <w:p w14:paraId="1F601653">
      <w:pPr>
        <w:rPr>
          <w:rFonts w:hint="eastAsia" w:ascii="宋体" w:hAnsi="宋体" w:eastAsia="宋体" w:cs="宋体"/>
          <w:color w:val="FF0000"/>
          <w:sz w:val="24"/>
          <w:szCs w:val="24"/>
        </w:rPr>
      </w:pPr>
    </w:p>
    <w:p w14:paraId="3D52C4B7">
      <w:pPr>
        <w:pStyle w:val="5"/>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default" w:ascii="宋体" w:hAnsi="宋体" w:eastAsia="宋体" w:cs="宋体"/>
          <w:color w:val="auto"/>
          <w:sz w:val="21"/>
          <w:szCs w:val="21"/>
          <w:lang w:val="en-US" w:eastAsia="zh-CN"/>
        </w:rPr>
      </w:pPr>
      <w:r>
        <w:rPr>
          <w:rFonts w:hint="eastAsia" w:ascii="宋体" w:hAnsi="宋体" w:eastAsia="宋体" w:cs="宋体"/>
          <w:color w:val="FF0000"/>
          <w:sz w:val="21"/>
          <w:szCs w:val="21"/>
        </w:rPr>
        <w:br w:type="page"/>
      </w:r>
      <w:bookmarkStart w:id="177" w:name="_Toc18354"/>
      <w:bookmarkStart w:id="178" w:name="_Toc11918"/>
      <w:r>
        <w:rPr>
          <w:rFonts w:hint="eastAsia" w:ascii="宋体" w:hAnsi="宋体" w:eastAsia="宋体" w:cs="宋体"/>
          <w:color w:val="auto"/>
          <w:sz w:val="28"/>
          <w:szCs w:val="28"/>
          <w:lang w:val="en-US" w:eastAsia="zh-CN"/>
        </w:rPr>
        <w:t>附件3：开州区应急物资储备情况</w:t>
      </w:r>
      <w:bookmarkEnd w:id="177"/>
      <w:bookmarkEnd w:id="178"/>
    </w:p>
    <w:p w14:paraId="2E0CF60D">
      <w:pPr>
        <w:spacing w:line="360" w:lineRule="auto"/>
        <w:jc w:val="center"/>
        <w:rPr>
          <w:rFonts w:hint="eastAsia"/>
          <w:color w:val="auto"/>
          <w:sz w:val="24"/>
        </w:rPr>
      </w:pPr>
      <w:r>
        <w:rPr>
          <w:b/>
          <w:color w:val="auto"/>
          <w:sz w:val="24"/>
        </w:rPr>
        <w:t xml:space="preserve">  </w:t>
      </w:r>
      <w:r>
        <w:rPr>
          <w:rFonts w:hint="eastAsia" w:hAnsi="宋体"/>
          <w:b/>
          <w:color w:val="auto"/>
          <w:sz w:val="24"/>
        </w:rPr>
        <w:t>开州区生态环境局应急物资储备情况</w:t>
      </w:r>
    </w:p>
    <w:tbl>
      <w:tblPr>
        <w:tblStyle w:val="15"/>
        <w:tblW w:w="0" w:type="auto"/>
        <w:tblInd w:w="0" w:type="dxa"/>
        <w:tblLayout w:type="fixed"/>
        <w:tblCellMar>
          <w:top w:w="0" w:type="dxa"/>
          <w:left w:w="0" w:type="dxa"/>
          <w:bottom w:w="0" w:type="dxa"/>
          <w:right w:w="0" w:type="dxa"/>
        </w:tblCellMar>
      </w:tblPr>
      <w:tblGrid>
        <w:gridCol w:w="339"/>
        <w:gridCol w:w="1599"/>
        <w:gridCol w:w="1519"/>
        <w:gridCol w:w="1223"/>
        <w:gridCol w:w="503"/>
        <w:gridCol w:w="478"/>
        <w:gridCol w:w="886"/>
        <w:gridCol w:w="853"/>
        <w:gridCol w:w="930"/>
      </w:tblGrid>
      <w:tr w14:paraId="4910CD32">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E539A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序号</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E127E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产品名称</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9EFA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物资类别</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E4EA2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规格型号</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1FCC7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数量</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71FA6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单位</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B9B12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存放地点</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7A5C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使用状况</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A7BD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管理部门</w:t>
            </w:r>
          </w:p>
        </w:tc>
      </w:tr>
      <w:tr w14:paraId="7856664A">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1F8D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2BA0A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GPS定位仪</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1E35C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17F95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G120</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BF287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E85C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F642A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BCFE3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F18E8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1419FCE0">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6496F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92F78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激光测距望远镜</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E8AC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BD65D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1400A</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D421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9258D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D560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6D505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4FBD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031663C0">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317B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E12C2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对讲机</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3DB6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D2672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GP328</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4F1C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6</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0233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对</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8171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643A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C2E2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569D9CB9">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72F7A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949F0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应急录音设备</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5A85D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C7FC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5505</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166D7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E80B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1DA38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56C55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5914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36631680">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05601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86378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应急现场工作服</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A4A84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个人防护设备器材</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9359F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RD96-T</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BB09C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4097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套</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0700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75C4A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3173A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20D5E607">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53243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6</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B90E6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液体化学防护服</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C15E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个人防护设备器材</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62C0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FH-2NP</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4038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9AE9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套</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6DF08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9CF2A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25999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17E83AD0">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2E76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7</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E9A95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气体化学防护服</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53DCF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个人防护设备器材</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5A65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FH-3NP</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7C688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19FB8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套</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690F7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915D0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7E69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5AD91025">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CFA4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8</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45C4B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易燃易爆气体报警</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153C7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应急监测设备</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4B052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SLT-606</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CD0C9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8DC21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C0C9C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298FD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6FBE9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50FA1BF4">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23B97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9</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C5347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有毒有害气体报警装置</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5E0F3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应急监测设备</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0507B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SLT-900</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573DE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83435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50D62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97EA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095A0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2DA4AE3B">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558F1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10</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76722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辐射报警装置</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BB41C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应急监测设备</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21215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SLT-900</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E6C3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A3D4A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82AEB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F11A6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C0C26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4C1A9BE3">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AF91E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11</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42C9D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医用急救箱</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6DFE4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B954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18村铝合金</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29A05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D0B7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箱</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065EA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5145E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E069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2014FC75">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A394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12</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F42D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应急供电、照明设备</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EBFF6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2067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MT1000S</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BF987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0691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套</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6974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A2A62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C0244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20594BD1">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DA5F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13</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4DC3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睡袋</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96BEC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723B4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CM-040</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91C0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709C5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个</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8505F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234E5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2085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4077877B">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A739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14</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DE06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帐篷</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D322A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50367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CS070</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FB9C3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36698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个</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F6750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5CEA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88830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0105D996">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7031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15</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C3A9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执法记录仪</w:t>
            </w:r>
          </w:p>
        </w:tc>
        <w:tc>
          <w:tcPr>
            <w:tcW w:w="151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C8E998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16E310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DSJ-A3</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E8B81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C0EB1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9B2B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ABF8B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5164B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732BB43D">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F3BDB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16</w:t>
            </w:r>
          </w:p>
        </w:tc>
        <w:tc>
          <w:tcPr>
            <w:tcW w:w="1599"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14:paraId="746512A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台式电脑</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2C347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817C72">
            <w:pPr>
              <w:jc w:val="center"/>
              <w:rPr>
                <w:rFonts w:hint="eastAsia" w:ascii="宋体" w:hAnsi="宋体" w:cs="宋体"/>
                <w:color w:val="auto"/>
                <w:sz w:val="18"/>
                <w:szCs w:val="18"/>
              </w:rPr>
            </w:pPr>
          </w:p>
        </w:tc>
        <w:tc>
          <w:tcPr>
            <w:tcW w:w="50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0E28FF7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A6F5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47CB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47A5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ACA8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36B59C65">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7DD55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17</w:t>
            </w:r>
          </w:p>
        </w:tc>
        <w:tc>
          <w:tcPr>
            <w:tcW w:w="1599"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14:paraId="7DFCA7E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应急车辆及辅助设备</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16352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43FF7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本田</w:t>
            </w:r>
          </w:p>
        </w:tc>
        <w:tc>
          <w:tcPr>
            <w:tcW w:w="50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0506D6C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2F113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辆</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82C2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4E957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746E6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32FAE411">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ABB0B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18</w:t>
            </w:r>
          </w:p>
        </w:tc>
        <w:tc>
          <w:tcPr>
            <w:tcW w:w="1599"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14:paraId="10D8F5C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固定电话</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8F3C6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B9666">
            <w:pPr>
              <w:jc w:val="center"/>
              <w:rPr>
                <w:rFonts w:hint="eastAsia" w:ascii="宋体" w:hAnsi="宋体" w:cs="宋体"/>
                <w:color w:val="auto"/>
                <w:sz w:val="18"/>
                <w:szCs w:val="18"/>
              </w:rPr>
            </w:pPr>
          </w:p>
        </w:tc>
        <w:tc>
          <w:tcPr>
            <w:tcW w:w="50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68B8961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2CD2F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部</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E465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D1230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6D46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0627A4F7">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54971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19</w:t>
            </w:r>
          </w:p>
        </w:tc>
        <w:tc>
          <w:tcPr>
            <w:tcW w:w="1599"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14:paraId="084BAC4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打印机</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E7A26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00186A">
            <w:pPr>
              <w:jc w:val="center"/>
              <w:rPr>
                <w:rFonts w:hint="eastAsia" w:ascii="宋体" w:hAnsi="宋体" w:cs="宋体"/>
                <w:color w:val="auto"/>
                <w:sz w:val="18"/>
                <w:szCs w:val="18"/>
              </w:rPr>
            </w:pPr>
          </w:p>
        </w:tc>
        <w:tc>
          <w:tcPr>
            <w:tcW w:w="50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10185CB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79BC2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EB24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9738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B60B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5645ACC3">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75A6F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20</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CED4F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传真机</w:t>
            </w:r>
          </w:p>
        </w:tc>
        <w:tc>
          <w:tcPr>
            <w:tcW w:w="1519"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14CF176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2D641481">
            <w:pPr>
              <w:jc w:val="center"/>
              <w:rPr>
                <w:rFonts w:hint="eastAsia" w:ascii="宋体" w:hAnsi="宋体" w:cs="宋体"/>
                <w:color w:val="auto"/>
                <w:sz w:val="18"/>
                <w:szCs w:val="18"/>
              </w:rPr>
            </w:pP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83058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C618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F9C4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1C4F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3E8E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0DA81E37">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FAE3FF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21</w:t>
            </w:r>
          </w:p>
        </w:tc>
        <w:tc>
          <w:tcPr>
            <w:tcW w:w="159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5B1138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摄像机</w:t>
            </w:r>
          </w:p>
        </w:tc>
        <w:tc>
          <w:tcPr>
            <w:tcW w:w="151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29BF1C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FBB3A5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佳能</w:t>
            </w:r>
          </w:p>
        </w:tc>
        <w:tc>
          <w:tcPr>
            <w:tcW w:w="50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ABA787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w:t>
            </w:r>
          </w:p>
        </w:tc>
        <w:tc>
          <w:tcPr>
            <w:tcW w:w="47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1DBD79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BC16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CC45D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CB0C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627E685C">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ED73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22</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07BE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防爆摄像机</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5022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5935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Exdv1301</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FAF86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2DB6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903F1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B594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6ED6E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6B2528AA">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DC8D02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23</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426C9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防爆照相机</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EF664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221DF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Excam1201</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BD16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51B2C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74AB4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5AB4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3052F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5702F6CE">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E85A8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24</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7DA74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防爆对讲机</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23717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8D429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PT7200 Ex</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91847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6</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4CB50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4BC4D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027D4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7240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2B5ACD5E">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8A739F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25</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56CB0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移动便携式打印机</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3C38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AC31A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Officejet 150 mobile</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B275D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435C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7DC6A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3EA08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CB6A1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1D661B32">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4629D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26</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19BF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便携式柴油发电机</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C8E5C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DBAD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KDF4000XE</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CADF5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83385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8CCE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C2E3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50E81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278AF092">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9E8B21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27</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067F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防爆抽油泵</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88D3A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93C4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50CYZ-60</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0E8A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5CD8C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40365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0C9B1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6676A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3EDAB19B">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5B2DC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28</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7A1A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水泵</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3564E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796D7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50WQ20-33-5.5</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8CB9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1EDA3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台</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E5E97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D860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CB179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1A003EBC">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D6D6F1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29</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6682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吸油毡</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1D70A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512B5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PP-1/PP-2</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2D97A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10</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C0B3A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包</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F6838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A1A4D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38A7C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7D3CCAD1">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1F2DB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30</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10D5B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吸油棉</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0D62B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BD0C5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OP002-B</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8745A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6120A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箱</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86599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9C482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5308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0C961153">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F2B316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31</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11780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黄色吸油吸液棉</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90379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626EF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HOP004</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4BC74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0535D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箱</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C94CC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1D660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CBE3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6F944076">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0586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32</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BD8D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吸油卷</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EDB06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EFFEF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OR004</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27429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10</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B926D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卷</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95FC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5798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04444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6A059296">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5B7648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33</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96177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吸油索</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50318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0474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OS20*3</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EDCE9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D372C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包</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CEA9E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9EE7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082DB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4910B218">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04414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34</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FF4B0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吸油片</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AA9EA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7A81E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OP002</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41CB5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5D322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箱</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025C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78C3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D93A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3D40E120">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45E296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35</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9262D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PVC围油栏</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05C9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堵漏、收集器材/设备</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1E82C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PVC1500</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000F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F547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节</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18F53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F6D82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1F60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2643F570">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554A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36</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D1977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消防水龙带</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AB854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消防设施</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54AC5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13-100-25</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9BFC5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68464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节</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D4F61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353EE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CF43E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28C41A13">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12A731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37</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2E282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抽油管</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CDB27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消防设施</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61BF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PVC</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95C1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FE559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件</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B2B0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5F502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63DC5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7D65DAF2">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9C21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38</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C84E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防护手套</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E3D9E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个人防护设备器材</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F6E88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辉安工业手套</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7D14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58E38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箱</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129C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C1975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8E78D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381F7863">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E00B1B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EDA69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耐高温手套</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12933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个人防护设备器材</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9E05B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LC-S59</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14D25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10</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2FB6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双</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8C99B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F1F4A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59E53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3493880B">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6519B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40</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2F946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消油剂</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7152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8226A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700</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C44E1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0A51D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桶</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8694A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49C4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A2EAA8">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627169D7">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C82FC5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41</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13205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化学品</w:t>
            </w:r>
            <w:r>
              <w:rPr>
                <w:rFonts w:hint="eastAsia" w:ascii="宋体" w:hAnsi="宋体" w:cs="宋体"/>
                <w:color w:val="auto"/>
                <w:kern w:val="0"/>
                <w:sz w:val="18"/>
                <w:szCs w:val="18"/>
                <w:lang w:eastAsia="zh-CN" w:bidi="ar"/>
              </w:rPr>
              <w:t>泄漏</w:t>
            </w:r>
            <w:r>
              <w:rPr>
                <w:rFonts w:hint="eastAsia" w:ascii="宋体" w:hAnsi="宋体" w:cs="宋体"/>
                <w:color w:val="auto"/>
                <w:kern w:val="0"/>
                <w:sz w:val="18"/>
                <w:szCs w:val="18"/>
                <w:lang w:bidi="ar"/>
              </w:rPr>
              <w:t>应急包</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473D1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AE7B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YJB-001</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E20E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0D654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包</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F932F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F5F8F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271C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650C6489">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0B743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42</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9EC53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编织袋</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14824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00B8F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90X130</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E6749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100</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98283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个</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2E70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23A90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6FEC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38812C56">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1F2E44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43</w:t>
            </w:r>
          </w:p>
        </w:tc>
        <w:tc>
          <w:tcPr>
            <w:tcW w:w="159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0E6261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铁锹</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DC4EA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F5F7F4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1626</w:t>
            </w:r>
          </w:p>
        </w:tc>
        <w:tc>
          <w:tcPr>
            <w:tcW w:w="50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1295EE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189390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把</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AA98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3889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48863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7EA9F452">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FA5C2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44</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B794E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十字铁镐</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05F5B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BD703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G102</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601BF">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C83E1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把</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75F2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843FC5">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AB6F1C">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2B3504C7">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53B541">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45</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EE478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撬棍</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0F36E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应急救援物资</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6F970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1200X20</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5AE7F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D23F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把</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C4A0A">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1E496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0198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775A1AD9">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76156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46</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1E14D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安全带</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193219">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个人防护设备器材</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7741B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YH-7009</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804E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C39A0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把</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E8E44">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35D0F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01A59E">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r w14:paraId="6B166F0D">
        <w:tblPrEx>
          <w:tblCellMar>
            <w:top w:w="0" w:type="dxa"/>
            <w:left w:w="0" w:type="dxa"/>
            <w:bottom w:w="0" w:type="dxa"/>
            <w:right w:w="0" w:type="dxa"/>
          </w:tblCellMar>
        </w:tblPrEx>
        <w:trPr>
          <w:trHeight w:val="500" w:hRule="atLeast"/>
        </w:trPr>
        <w:tc>
          <w:tcPr>
            <w:tcW w:w="3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7FEA2">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47</w:t>
            </w:r>
          </w:p>
        </w:tc>
        <w:tc>
          <w:tcPr>
            <w:tcW w:w="15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A454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防毒面罩</w:t>
            </w:r>
          </w:p>
        </w:tc>
        <w:tc>
          <w:tcPr>
            <w:tcW w:w="15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B8E50B">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个人防护设备器材</w:t>
            </w:r>
          </w:p>
        </w:tc>
        <w:tc>
          <w:tcPr>
            <w:tcW w:w="12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00C57">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6200</w:t>
            </w:r>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36F7A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5</w:t>
            </w:r>
          </w:p>
        </w:tc>
        <w:tc>
          <w:tcPr>
            <w:tcW w:w="4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4DDF60">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套</w:t>
            </w:r>
          </w:p>
        </w:tc>
        <w:tc>
          <w:tcPr>
            <w:tcW w:w="8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10A6D">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应急设备室</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6EC5B3">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正常使用</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C1406">
            <w:pPr>
              <w:widowControl/>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区应急管理中心</w:t>
            </w:r>
          </w:p>
        </w:tc>
      </w:tr>
    </w:tbl>
    <w:p w14:paraId="4301E0CD">
      <w:pPr>
        <w:pStyle w:val="12"/>
        <w:ind w:firstLine="482"/>
        <w:rPr>
          <w:color w:val="auto"/>
          <w:sz w:val="24"/>
          <w:szCs w:val="24"/>
        </w:rPr>
        <w:sectPr>
          <w:pgSz w:w="11906" w:h="16838"/>
          <w:pgMar w:top="1440" w:right="1803" w:bottom="1440" w:left="1803" w:header="851" w:footer="992" w:gutter="0"/>
          <w:pgNumType w:fmt="decimal"/>
          <w:cols w:space="720" w:num="1"/>
          <w:docGrid w:type="lines" w:linePitch="312" w:charSpace="0"/>
        </w:sectPr>
      </w:pPr>
    </w:p>
    <w:p w14:paraId="7A0F162B">
      <w:pPr>
        <w:pStyle w:val="5"/>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color w:val="auto"/>
          <w:sz w:val="28"/>
          <w:szCs w:val="28"/>
          <w:lang w:val="en-US" w:eastAsia="zh-CN"/>
        </w:rPr>
      </w:pPr>
      <w:bookmarkStart w:id="179" w:name="_Toc32125"/>
      <w:bookmarkStart w:id="180" w:name="_Toc25909"/>
      <w:bookmarkStart w:id="181" w:name="_Toc5725"/>
      <w:bookmarkStart w:id="182" w:name="_Toc97730647"/>
      <w:bookmarkStart w:id="183" w:name="_Toc30059"/>
      <w:r>
        <w:rPr>
          <w:rFonts w:hint="eastAsia" w:ascii="宋体" w:hAnsi="宋体" w:eastAsia="宋体" w:cs="宋体"/>
          <w:color w:val="auto"/>
          <w:sz w:val="28"/>
          <w:szCs w:val="28"/>
          <w:lang w:val="en-US" w:eastAsia="zh-CN"/>
        </w:rPr>
        <w:t>附图1  开州区行政区划图</w:t>
      </w:r>
      <w:bookmarkEnd w:id="179"/>
      <w:bookmarkEnd w:id="180"/>
      <w:bookmarkEnd w:id="181"/>
      <w:bookmarkEnd w:id="182"/>
    </w:p>
    <w:p w14:paraId="4FBFEBAF">
      <w:pPr>
        <w:rPr>
          <w:rFonts w:hint="eastAsia"/>
          <w:color w:val="auto"/>
        </w:rPr>
        <w:sectPr>
          <w:footerReference r:id="rId9" w:type="default"/>
          <w:pgSz w:w="11906" w:h="16838"/>
          <w:pgMar w:top="1440" w:right="1133" w:bottom="1440" w:left="1803" w:header="851" w:footer="992" w:gutter="0"/>
          <w:pgNumType w:fmt="decimal"/>
          <w:cols w:space="720" w:num="1"/>
          <w:docGrid w:type="lines" w:linePitch="312" w:charSpace="0"/>
        </w:sectPr>
      </w:pPr>
      <w:r>
        <w:rPr>
          <w:color w:val="auto"/>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2415540</wp:posOffset>
                </wp:positionV>
                <wp:extent cx="216535" cy="206375"/>
                <wp:effectExtent l="24130" t="26035" r="26035" b="34290"/>
                <wp:wrapNone/>
                <wp:docPr id="17" name="五角星 17"/>
                <wp:cNvGraphicFramePr/>
                <a:graphic xmlns:a="http://schemas.openxmlformats.org/drawingml/2006/main">
                  <a:graphicData uri="http://schemas.microsoft.com/office/word/2010/wordprocessingShape">
                    <wps:wsp>
                      <wps:cNvSpPr/>
                      <wps:spPr>
                        <a:xfrm>
                          <a:off x="0" y="0"/>
                          <a:ext cx="216535" cy="206375"/>
                        </a:xfrm>
                        <a:prstGeom prst="star5">
                          <a:avLst/>
                        </a:prstGeom>
                        <a:solidFill>
                          <a:srgbClr val="FF0000"/>
                        </a:solidFill>
                        <a:ln w="15875" cap="flat" cmpd="sng">
                          <a:solidFill>
                            <a:srgbClr val="FF0000"/>
                          </a:solidFill>
                          <a:prstDash val="solid"/>
                          <a:miter/>
                          <a:headEnd type="none" w="med" len="med"/>
                          <a:tailEnd type="none" w="med" len="med"/>
                        </a:ln>
                      </wps:spPr>
                      <wps:txbx>
                        <w:txbxContent>
                          <w:p w14:paraId="7E85867A"/>
                        </w:txbxContent>
                      </wps:txbx>
                      <wps:bodyPr upright="1"/>
                    </wps:wsp>
                  </a:graphicData>
                </a:graphic>
              </wp:anchor>
            </w:drawing>
          </mc:Choice>
          <mc:Fallback>
            <w:pict>
              <v:shape id="_x0000_s1026" o:spid="_x0000_s1026" style="position:absolute;left:0pt;margin-left:240pt;margin-top:190.2pt;height:16.25pt;width:17.05pt;z-index:251663360;mso-width-relative:page;mso-height-relative:page;" fillcolor="#FF0000" filled="t" stroked="t" coordsize="216535,206375" o:gfxdata="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kqFQtsAAAALAQAADwAAAAAAAAABACAAAAAi&#10;AAAAZHJzL2Rvd25yZXYueG1sUEsBAhQAFAAAAAgAh07iQBxJBcwHAgAALwQAAA4AAAAAAAAAAQAg&#10;AAAAKgEAAGRycy9lMm9Eb2MueG1sUEsFBgAAAAAGAAYAWQEAAKMFAAAAAA==&#10;" path="m0,78828l82709,78828,108267,0,133825,78828,216534,78828,149621,127546,175180,206374,108267,157655,41354,206374,66913,127546xe">
                <v:path textboxrect="0,0,216535,206375" o:connectlocs="108267,0;0,78828;41354,206374;175180,206374;216534,78828" o:connectangles="247,164,82,82,0"/>
                <v:fill on="t" focussize="0,0"/>
                <v:stroke weight="1.25pt" color="#FF0000" joinstyle="miter"/>
                <v:imagedata o:title=""/>
                <o:lock v:ext="edit" aspectratio="f"/>
                <v:textbox>
                  <w:txbxContent>
                    <w:p w14:paraId="7E85867A"/>
                  </w:txbxContent>
                </v:textbox>
              </v:shape>
            </w:pict>
          </mc:Fallback>
        </mc:AlternateContent>
      </w:r>
      <w:r>
        <w:rPr>
          <w:rFonts w:hint="eastAsia"/>
          <w:color w:val="auto"/>
        </w:rPr>
        <w:drawing>
          <wp:inline distT="0" distB="0" distL="114300" distR="114300">
            <wp:extent cx="5256530" cy="6506210"/>
            <wp:effectExtent l="0" t="0" r="1270" b="8890"/>
            <wp:docPr id="13" name="图片 1" descr="201912220838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2019122208385770"/>
                    <pic:cNvPicPr>
                      <a:picLocks noChangeAspect="1"/>
                    </pic:cNvPicPr>
                  </pic:nvPicPr>
                  <pic:blipFill>
                    <a:blip r:embed="rId21"/>
                    <a:stretch>
                      <a:fillRect/>
                    </a:stretch>
                  </pic:blipFill>
                  <pic:spPr>
                    <a:xfrm>
                      <a:off x="0" y="0"/>
                      <a:ext cx="5256530" cy="6506210"/>
                    </a:xfrm>
                    <a:prstGeom prst="rect">
                      <a:avLst/>
                    </a:prstGeom>
                    <a:noFill/>
                    <a:ln>
                      <a:noFill/>
                    </a:ln>
                  </pic:spPr>
                </pic:pic>
              </a:graphicData>
            </a:graphic>
          </wp:inline>
        </w:drawing>
      </w:r>
      <w:bookmarkEnd w:id="183"/>
    </w:p>
    <w:p w14:paraId="101E5585">
      <w:pPr>
        <w:pStyle w:val="5"/>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color w:val="auto"/>
          <w:sz w:val="28"/>
          <w:szCs w:val="28"/>
          <w:lang w:val="en-US" w:eastAsia="zh-CN"/>
        </w:rPr>
      </w:pPr>
      <w:bookmarkStart w:id="184" w:name="_Toc24362"/>
      <w:bookmarkStart w:id="185" w:name="_Toc23815"/>
      <w:bookmarkStart w:id="186" w:name="_Toc7337"/>
      <w:bookmarkStart w:id="187" w:name="_Toc97730648"/>
      <w:bookmarkStart w:id="188" w:name="_Toc6122"/>
      <w:r>
        <w:rPr>
          <w:rFonts w:hint="eastAsia" w:ascii="宋体" w:hAnsi="宋体" w:eastAsia="宋体" w:cs="宋体"/>
          <w:color w:val="auto"/>
          <w:sz w:val="28"/>
          <w:szCs w:val="28"/>
          <w:lang w:val="en-US" w:eastAsia="zh-CN"/>
        </w:rPr>
        <w:t>附图2  开州区水系图</w:t>
      </w:r>
      <w:bookmarkEnd w:id="184"/>
      <w:bookmarkEnd w:id="185"/>
      <w:bookmarkEnd w:id="186"/>
      <w:bookmarkEnd w:id="187"/>
    </w:p>
    <w:p w14:paraId="773F5B61">
      <w:pPr>
        <w:rPr>
          <w:rFonts w:hint="eastAsia"/>
          <w:color w:val="auto"/>
        </w:rPr>
        <w:sectPr>
          <w:pgSz w:w="11906" w:h="16838"/>
          <w:pgMar w:top="1440" w:right="1803" w:bottom="1440" w:left="1803" w:header="851" w:footer="992" w:gutter="0"/>
          <w:pgNumType w:fmt="decimal"/>
          <w:cols w:space="720" w:num="1"/>
          <w:docGrid w:type="lines" w:linePitch="312" w:charSpace="0"/>
        </w:sectPr>
      </w:pPr>
      <w:r>
        <w:rPr>
          <w:rFonts w:hint="eastAsia"/>
          <w:color w:val="auto"/>
        </w:rPr>
        <w:drawing>
          <wp:inline distT="0" distB="0" distL="114300" distR="114300">
            <wp:extent cx="5256530" cy="6506210"/>
            <wp:effectExtent l="0" t="0" r="1270" b="8890"/>
            <wp:docPr id="14" name="图片 2" descr="201912220839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2019122208393394"/>
                    <pic:cNvPicPr>
                      <a:picLocks noChangeAspect="1"/>
                    </pic:cNvPicPr>
                  </pic:nvPicPr>
                  <pic:blipFill>
                    <a:blip r:embed="rId22"/>
                    <a:stretch>
                      <a:fillRect/>
                    </a:stretch>
                  </pic:blipFill>
                  <pic:spPr>
                    <a:xfrm>
                      <a:off x="0" y="0"/>
                      <a:ext cx="5256530" cy="6506210"/>
                    </a:xfrm>
                    <a:prstGeom prst="rect">
                      <a:avLst/>
                    </a:prstGeom>
                    <a:noFill/>
                    <a:ln>
                      <a:noFill/>
                    </a:ln>
                  </pic:spPr>
                </pic:pic>
              </a:graphicData>
            </a:graphic>
          </wp:inline>
        </w:drawing>
      </w:r>
      <w:bookmarkEnd w:id="188"/>
    </w:p>
    <w:p w14:paraId="342E4FF5">
      <w:pPr>
        <w:pStyle w:val="5"/>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color w:val="auto"/>
          <w:sz w:val="28"/>
          <w:szCs w:val="28"/>
          <w:lang w:val="en-US" w:eastAsia="zh-CN"/>
        </w:rPr>
      </w:pPr>
      <w:bookmarkStart w:id="189" w:name="_Toc11769"/>
      <w:bookmarkStart w:id="190" w:name="_Toc97730649"/>
      <w:bookmarkStart w:id="191" w:name="_Toc11475"/>
      <w:bookmarkStart w:id="192" w:name="_Toc1210"/>
      <w:bookmarkStart w:id="193" w:name="_Toc4381"/>
      <w:r>
        <w:rPr>
          <w:rFonts w:hint="eastAsia" w:ascii="宋体" w:hAnsi="宋体" w:eastAsia="宋体" w:cs="宋体"/>
          <w:color w:val="auto"/>
          <w:sz w:val="28"/>
          <w:szCs w:val="28"/>
          <w:lang w:val="en-US" w:eastAsia="zh-CN"/>
        </w:rPr>
        <w:t>附图3  开州区河堰镇双龙洞地下水河堰供水站水源地地理位置图</w:t>
      </w:r>
      <w:bookmarkEnd w:id="189"/>
      <w:bookmarkEnd w:id="190"/>
      <w:bookmarkEnd w:id="191"/>
      <w:bookmarkEnd w:id="192"/>
      <w:bookmarkEnd w:id="193"/>
      <w:r>
        <w:drawing>
          <wp:inline distT="0" distB="0" distL="114300" distR="114300">
            <wp:extent cx="5263515" cy="4377690"/>
            <wp:effectExtent l="0" t="0" r="13335" b="381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23"/>
                    <a:stretch>
                      <a:fillRect/>
                    </a:stretch>
                  </pic:blipFill>
                  <pic:spPr>
                    <a:xfrm>
                      <a:off x="0" y="0"/>
                      <a:ext cx="5263515" cy="4377690"/>
                    </a:xfrm>
                    <a:prstGeom prst="rect">
                      <a:avLst/>
                    </a:prstGeom>
                    <a:noFill/>
                    <a:ln>
                      <a:noFill/>
                    </a:ln>
                  </pic:spPr>
                </pic:pic>
              </a:graphicData>
            </a:graphic>
          </wp:inline>
        </w:drawing>
      </w:r>
    </w:p>
    <w:p w14:paraId="0E9083BE">
      <w:pPr>
        <w:jc w:val="center"/>
        <w:rPr>
          <w:rFonts w:hint="eastAsia"/>
          <w:color w:val="auto"/>
        </w:rPr>
        <w:sectPr>
          <w:pgSz w:w="11906" w:h="16838"/>
          <w:pgMar w:top="1440" w:right="1803" w:bottom="1440" w:left="1803" w:header="851" w:footer="992" w:gutter="0"/>
          <w:cols w:space="720" w:num="1"/>
          <w:docGrid w:type="lines" w:linePitch="319" w:charSpace="0"/>
        </w:sectPr>
      </w:pPr>
    </w:p>
    <w:p w14:paraId="19426CA7">
      <w:pPr>
        <w:pStyle w:val="5"/>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宋体" w:hAnsi="宋体" w:eastAsia="宋体" w:cs="宋体"/>
          <w:color w:val="auto"/>
          <w:sz w:val="28"/>
          <w:szCs w:val="28"/>
          <w:lang w:val="en-US" w:eastAsia="zh-CN"/>
        </w:rPr>
      </w:pPr>
      <w:bookmarkStart w:id="194" w:name="_Toc97730654"/>
      <w:bookmarkStart w:id="195" w:name="_Toc14797"/>
      <w:r>
        <w:rPr>
          <w:rFonts w:hint="eastAsia" w:ascii="宋体" w:hAnsi="宋体" w:eastAsia="宋体" w:cs="宋体"/>
          <w:color w:val="auto"/>
          <w:sz w:val="28"/>
          <w:szCs w:val="28"/>
          <w:lang w:val="en-US" w:eastAsia="zh-CN"/>
        </w:rPr>
        <w:t>附图4 饮用水源地监测点位分布图</w:t>
      </w:r>
      <w:bookmarkEnd w:id="194"/>
      <w:bookmarkEnd w:id="195"/>
    </w:p>
    <w:p w14:paraId="14A17DD5">
      <w:pPr>
        <w:rPr>
          <w:rFonts w:hint="eastAsia"/>
          <w:color w:val="auto"/>
        </w:rPr>
      </w:pPr>
      <w:r>
        <w:rPr>
          <w:color w:val="auto"/>
        </w:rPr>
        <mc:AlternateContent>
          <mc:Choice Requires="wps">
            <w:drawing>
              <wp:anchor distT="0" distB="0" distL="114300" distR="114300" simplePos="0" relativeHeight="251674624" behindDoc="0" locked="0" layoutInCell="1" allowOverlap="1">
                <wp:simplePos x="0" y="0"/>
                <wp:positionH relativeFrom="column">
                  <wp:posOffset>2240280</wp:posOffset>
                </wp:positionH>
                <wp:positionV relativeFrom="paragraph">
                  <wp:posOffset>2611755</wp:posOffset>
                </wp:positionV>
                <wp:extent cx="1538605" cy="485775"/>
                <wp:effectExtent l="7620" t="8255" r="15875" b="744220"/>
                <wp:wrapNone/>
                <wp:docPr id="33" name="矩形标注 33"/>
                <wp:cNvGraphicFramePr/>
                <a:graphic xmlns:a="http://schemas.openxmlformats.org/drawingml/2006/main">
                  <a:graphicData uri="http://schemas.microsoft.com/office/word/2010/wordprocessingShape">
                    <wps:wsp>
                      <wps:cNvSpPr/>
                      <wps:spPr>
                        <a:xfrm>
                          <a:off x="0" y="0"/>
                          <a:ext cx="1538605" cy="485775"/>
                        </a:xfrm>
                        <a:prstGeom prst="wedgeRectCallout">
                          <a:avLst>
                            <a:gd name="adj1" fmla="val 47606"/>
                            <a:gd name="adj2" fmla="val 193662"/>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14:paraId="080C06B2">
                            <w:pPr>
                              <w:rPr>
                                <w:rFonts w:hint="eastAsia" w:hAnsi="宋体"/>
                                <w:bCs/>
                                <w:sz w:val="13"/>
                                <w:szCs w:val="13"/>
                              </w:rPr>
                            </w:pPr>
                            <w:r>
                              <w:rPr>
                                <w:rFonts w:hint="eastAsia" w:hAnsi="宋体"/>
                                <w:bCs/>
                                <w:sz w:val="13"/>
                                <w:szCs w:val="13"/>
                              </w:rPr>
                              <w:t>开州区河堰镇双龙洞地下水河堰供水站水源地</w:t>
                            </w:r>
                          </w:p>
                        </w:txbxContent>
                      </wps:txbx>
                      <wps:bodyPr upright="1"/>
                    </wps:wsp>
                  </a:graphicData>
                </a:graphic>
              </wp:anchor>
            </w:drawing>
          </mc:Choice>
          <mc:Fallback>
            <w:pict>
              <v:shape id="_x0000_s1026" o:spid="_x0000_s1026" o:spt="61" type="#_x0000_t61" style="position:absolute;left:0pt;margin-left:176.4pt;margin-top:205.65pt;height:38.25pt;width:121.15pt;z-index:251674624;mso-width-relative:page;mso-height-relative:page;" fillcolor="#FFFFFF" filled="t" stroked="t" coordsize="21600,21600" o:gfxdata="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k5DCD9kAAAALAQAADwAAAAAAAAABACAAAAAiAAAA&#10;ZHJzL2Rvd25yZXYueG1sUEsBAhQAFAAAAAgAh07iQDqKhP94AgAAFwUAAA4AAAAAAAAAAQAgAAAA&#10;KAEAAGRycy9lMm9Eb2MueG1sUEsFBgAAAAAGAAYAWQEAABIGAAAAAA==&#10;" adj="21083,52631">
                <v:fill type="gradient" on="t" color2="#FFFFFF" angle="90" focus="100%" focussize="0,0">
                  <o:fill type="gradientUnscaled" v:ext="backwardCompatible"/>
                </v:fill>
                <v:stroke weight="1.25pt" color="#739CC3" joinstyle="miter"/>
                <v:imagedata o:title=""/>
                <o:lock v:ext="edit" aspectratio="f"/>
                <v:textbox>
                  <w:txbxContent>
                    <w:p w14:paraId="080C06B2">
                      <w:pPr>
                        <w:rPr>
                          <w:rFonts w:hint="eastAsia" w:hAnsi="宋体"/>
                          <w:bCs/>
                          <w:sz w:val="13"/>
                          <w:szCs w:val="13"/>
                        </w:rPr>
                      </w:pPr>
                      <w:r>
                        <w:rPr>
                          <w:rFonts w:hint="eastAsia" w:hAnsi="宋体"/>
                          <w:bCs/>
                          <w:sz w:val="13"/>
                          <w:szCs w:val="13"/>
                        </w:rPr>
                        <w:t>开州区河堰镇双龙洞地下水河堰供水站水源地</w:t>
                      </w:r>
                    </w:p>
                  </w:txbxContent>
                </v:textbox>
              </v:shape>
            </w:pict>
          </mc:Fallback>
        </mc:AlternateContent>
      </w:r>
      <w:r>
        <w:rPr>
          <w:color w:val="auto"/>
        </w:rPr>
        <mc:AlternateContent>
          <mc:Choice Requires="wps">
            <w:drawing>
              <wp:anchor distT="0" distB="0" distL="114300" distR="114300" simplePos="0" relativeHeight="251673600" behindDoc="0" locked="0" layoutInCell="1" allowOverlap="1">
                <wp:simplePos x="0" y="0"/>
                <wp:positionH relativeFrom="column">
                  <wp:posOffset>3697605</wp:posOffset>
                </wp:positionH>
                <wp:positionV relativeFrom="paragraph">
                  <wp:posOffset>3842385</wp:posOffset>
                </wp:positionV>
                <wp:extent cx="131445" cy="146050"/>
                <wp:effectExtent l="21590" t="29845" r="37465" b="33655"/>
                <wp:wrapNone/>
                <wp:docPr id="35" name="五角星 35"/>
                <wp:cNvGraphicFramePr/>
                <a:graphic xmlns:a="http://schemas.openxmlformats.org/drawingml/2006/main">
                  <a:graphicData uri="http://schemas.microsoft.com/office/word/2010/wordprocessingShape">
                    <wps:wsp>
                      <wps:cNvSpPr/>
                      <wps:spPr>
                        <a:xfrm>
                          <a:off x="0" y="0"/>
                          <a:ext cx="131445" cy="146050"/>
                        </a:xfrm>
                        <a:prstGeom prst="star5">
                          <a:avLst/>
                        </a:prstGeom>
                        <a:gradFill rotWithShape="0">
                          <a:gsLst>
                            <a:gs pos="0">
                              <a:srgbClr val="FFFFFF"/>
                            </a:gs>
                            <a:gs pos="100000">
                              <a:srgbClr val="FFFFFF"/>
                            </a:gs>
                          </a:gsLst>
                          <a:lin ang="0"/>
                          <a:tileRect/>
                        </a:gradFill>
                        <a:ln w="15875" cap="flat" cmpd="sng">
                          <a:solidFill>
                            <a:srgbClr val="FF0000"/>
                          </a:solidFill>
                          <a:prstDash val="solid"/>
                          <a:miter/>
                          <a:headEnd type="none" w="med" len="med"/>
                          <a:tailEnd type="none" w="med" len="med"/>
                        </a:ln>
                      </wps:spPr>
                      <wps:txbx>
                        <w:txbxContent>
                          <w:p w14:paraId="42EE65C3">
                            <w:r>
                              <w:drawing>
                                <wp:inline distT="0" distB="0" distL="114300" distR="114300">
                                  <wp:extent cx="6350" cy="6985"/>
                                  <wp:effectExtent l="0" t="0" r="0" b="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24"/>
                                          <a:stretch>
                                            <a:fillRect/>
                                          </a:stretch>
                                        </pic:blipFill>
                                        <pic:spPr>
                                          <a:xfrm>
                                            <a:off x="0" y="0"/>
                                            <a:ext cx="6350" cy="6985"/>
                                          </a:xfrm>
                                          <a:prstGeom prst="rect">
                                            <a:avLst/>
                                          </a:prstGeom>
                                          <a:noFill/>
                                          <a:ln>
                                            <a:noFill/>
                                          </a:ln>
                                        </pic:spPr>
                                      </pic:pic>
                                    </a:graphicData>
                                  </a:graphic>
                                </wp:inline>
                              </w:drawing>
                            </w:r>
                          </w:p>
                        </w:txbxContent>
                      </wps:txbx>
                      <wps:bodyPr upright="1"/>
                    </wps:wsp>
                  </a:graphicData>
                </a:graphic>
              </wp:anchor>
            </w:drawing>
          </mc:Choice>
          <mc:Fallback>
            <w:pict>
              <v:shape id="_x0000_s1026" o:spid="_x0000_s1026" style="position:absolute;left:0pt;margin-left:291.15pt;margin-top:302.55pt;height:11.5pt;width:10.35pt;z-index:251673600;mso-width-relative:page;mso-height-relative:page;" fillcolor="#FFFFFF" filled="t" stroked="t" coordsize="131445,146050" o:gfxdata="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sen2doAAAALAQAADwAAAAAAAAABACAAAAAi&#10;AAAAZHJzL2Rvd25yZXYueG1sUEsBAhQAFAAAAAgAh07iQIJhDh1BAgAAtgQAAA4AAAAAAAAAAQAg&#10;AAAAKQEAAGRycy9lMm9Eb2MueG1sUEsFBgAAAAAGAAYAWQEAANwFAAAAAA==&#10;" path="m0,55785l50207,55786,65722,0,81237,55786,131444,55785,90825,90263,106341,146049,65722,111571,25103,146049,40619,90263xe">
                <v:path textboxrect="0,0,131445,146050" o:connectlocs="65722,0;0,55785;25103,146049;106341,146049;131444,55785" o:connectangles="247,164,82,82,0"/>
                <v:fill type="gradient" on="t" color2="#FFFFFF" angle="90" focus="100%" focussize="0,0">
                  <o:fill type="gradientUnscaled" v:ext="backwardCompatible"/>
                </v:fill>
                <v:stroke weight="1.25pt" color="#FF0000" joinstyle="miter"/>
                <v:imagedata o:title=""/>
                <o:lock v:ext="edit" aspectratio="f"/>
                <v:textbox>
                  <w:txbxContent>
                    <w:p w14:paraId="42EE65C3">
                      <w:r>
                        <w:drawing>
                          <wp:inline distT="0" distB="0" distL="114300" distR="114300">
                            <wp:extent cx="6350" cy="6985"/>
                            <wp:effectExtent l="0" t="0" r="0" b="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24"/>
                                    <a:stretch>
                                      <a:fillRect/>
                                    </a:stretch>
                                  </pic:blipFill>
                                  <pic:spPr>
                                    <a:xfrm>
                                      <a:off x="0" y="0"/>
                                      <a:ext cx="6350" cy="6985"/>
                                    </a:xfrm>
                                    <a:prstGeom prst="rect">
                                      <a:avLst/>
                                    </a:prstGeom>
                                    <a:noFill/>
                                    <a:ln>
                                      <a:noFill/>
                                    </a:ln>
                                  </pic:spPr>
                                </pic:pic>
                              </a:graphicData>
                            </a:graphic>
                          </wp:inline>
                        </w:drawing>
                      </w:r>
                    </w:p>
                  </w:txbxContent>
                </v:textbox>
              </v:shape>
            </w:pict>
          </mc:Fallback>
        </mc:AlternateContent>
      </w:r>
      <w:r>
        <w:rPr>
          <w:color w:val="auto"/>
          <w:sz w:val="24"/>
        </w:rPr>
        <w:drawing>
          <wp:inline distT="0" distB="0" distL="114300" distR="114300">
            <wp:extent cx="5269865" cy="7253605"/>
            <wp:effectExtent l="0" t="0" r="6985" b="4445"/>
            <wp:docPr id="28" name="图片 7" descr="微信图片_2020100918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descr="微信图片_20201009181100"/>
                    <pic:cNvPicPr>
                      <a:picLocks noChangeAspect="1"/>
                    </pic:cNvPicPr>
                  </pic:nvPicPr>
                  <pic:blipFill>
                    <a:blip r:embed="rId25"/>
                    <a:stretch>
                      <a:fillRect/>
                    </a:stretch>
                  </pic:blipFill>
                  <pic:spPr>
                    <a:xfrm>
                      <a:off x="0" y="0"/>
                      <a:ext cx="5269865" cy="7253605"/>
                    </a:xfrm>
                    <a:prstGeom prst="rect">
                      <a:avLst/>
                    </a:prstGeom>
                    <a:noFill/>
                    <a:ln>
                      <a:noFill/>
                    </a:ln>
                  </pic:spPr>
                </pic:pic>
              </a:graphicData>
            </a:graphic>
          </wp:inline>
        </w:drawing>
      </w:r>
    </w:p>
    <w:p w14:paraId="0D58FBAC">
      <w:pPr>
        <w:rPr>
          <w:rFonts w:hint="default"/>
          <w:color w:val="auto"/>
          <w:lang w:val="en-US" w:eastAsia="zh-CN"/>
        </w:rPr>
      </w:pPr>
    </w:p>
    <w:p w14:paraId="75CB648D">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outlineLvl w:val="2"/>
        <w:rPr>
          <w:rFonts w:hint="default" w:ascii="宋体" w:hAnsi="宋体" w:eastAsia="宋体" w:cs="宋体"/>
          <w:color w:val="auto"/>
          <w:kern w:val="2"/>
          <w:sz w:val="28"/>
          <w:szCs w:val="28"/>
          <w:lang w:val="en-US" w:eastAsia="zh-CN" w:bidi="ar-SA"/>
        </w:rPr>
      </w:pPr>
      <w:bookmarkStart w:id="196" w:name="_GoBack"/>
      <w:bookmarkEnd w:id="196"/>
    </w:p>
    <w:sectPr>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101800B-0051-4222-BE80-9051AA9F54F1}"/>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2" w:fontKey="{1346DD6D-121F-49BE-A6F7-56A140989145}"/>
  </w:font>
  <w:font w:name="仿宋_GB2312">
    <w:altName w:val="仿宋"/>
    <w:panose1 w:val="02010609030101010101"/>
    <w:charset w:val="86"/>
    <w:family w:val="modern"/>
    <w:pitch w:val="default"/>
    <w:sig w:usb0="00000000" w:usb1="00000000" w:usb2="00000000" w:usb3="00000000" w:csb0="00040000" w:csb1="00000000"/>
    <w:embedRegular r:id="rId3" w:fontKey="{79C225A7-2BD3-44E4-A191-AA06DC0894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DB86A">
    <w:pPr>
      <w:pStyle w:val="9"/>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DDE6A">
    <w:pPr>
      <w:pStyle w:val="9"/>
      <w:framePr w:wrap="around" w:vAnchor="text" w:hAnchor="margin" w:xAlign="right" w:y="1"/>
      <w:rPr>
        <w:rStyle w:val="19"/>
        <w:rFonts w:hint="eastAsia"/>
      </w:rPr>
    </w:pPr>
    <w:r>
      <w:fldChar w:fldCharType="begin"/>
    </w:r>
    <w:r>
      <w:rPr>
        <w:rStyle w:val="19"/>
      </w:rPr>
      <w:instrText xml:space="preserve">PAGE  </w:instrText>
    </w:r>
    <w:r>
      <w:fldChar w:fldCharType="end"/>
    </w:r>
  </w:p>
  <w:p w14:paraId="37758493">
    <w:pPr>
      <w:pStyle w:val="9"/>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7729A">
    <w:pPr>
      <w:pStyle w:val="9"/>
      <w:jc w:val="center"/>
      <w:rPr>
        <w:rFonts w:hint="eastAsia"/>
      </w:rPr>
    </w:pPr>
    <w:r>
      <w:fldChar w:fldCharType="begin"/>
    </w:r>
    <w:r>
      <w:instrText xml:space="preserve"> PAGE   \* MERGEFORMAT </w:instrText>
    </w:r>
    <w:r>
      <w:fldChar w:fldCharType="separate"/>
    </w:r>
    <w:r>
      <w:rPr>
        <w:rFonts w:hint="eastAsia"/>
        <w:lang w:val="zh-CN"/>
      </w:rPr>
      <w:t>52</w:t>
    </w:r>
    <w:r>
      <w:rPr>
        <w:rFonts w:hint="eastAsia"/>
        <w:lang w:val="zh-CN"/>
      </w:rPr>
      <w:fldChar w:fldCharType="end"/>
    </w:r>
  </w:p>
  <w:p w14:paraId="21C5CEBF">
    <w:pPr>
      <w:pStyle w:val="9"/>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5C883">
    <w:pPr>
      <w:pStyle w:val="9"/>
      <w:ind w:right="360"/>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4A739">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794A739">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D7FB">
    <w:pPr>
      <w:pStyle w:val="9"/>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EE437A">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EEE437A">
                    <w:pPr>
                      <w:pStyle w:val="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CCF8F">
    <w:pPr>
      <w:pStyle w:val="9"/>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9FE6372">
                          <w:pPr>
                            <w:pStyle w:val="9"/>
                            <w:ind w:firstLine="360"/>
                          </w:pPr>
                          <w:r>
                            <w:fldChar w:fldCharType="begin"/>
                          </w:r>
                          <w:r>
                            <w:instrText xml:space="preserve"> PAGE  \* MERGEFORMAT </w:instrText>
                          </w:r>
                          <w:r>
                            <w:fldChar w:fldCharType="separate"/>
                          </w:r>
                          <w:r>
                            <w:t>57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GfUKr1wEAALMDAAAOAAAAAAAAAAEA&#10;IAAAACIBAABkcnMvZTJvRG9jLnhtbFBLBQYAAAAABgAGAFkBAABrBQAAAAA=&#10;">
              <v:fill on="f" focussize="0,0"/>
              <v:stroke on="f" weight="1.25pt"/>
              <v:imagedata o:title=""/>
              <o:lock v:ext="edit" aspectratio="f"/>
              <v:textbox inset="0mm,0mm,0mm,0mm" style="mso-fit-shape-to-text:t;">
                <w:txbxContent>
                  <w:p w14:paraId="19FE6372">
                    <w:pPr>
                      <w:pStyle w:val="9"/>
                      <w:ind w:firstLine="360"/>
                    </w:pPr>
                    <w:r>
                      <w:fldChar w:fldCharType="begin"/>
                    </w:r>
                    <w:r>
                      <w:instrText xml:space="preserve"> PAGE  \* MERGEFORMAT </w:instrText>
                    </w:r>
                    <w:r>
                      <w:fldChar w:fldCharType="separate"/>
                    </w:r>
                    <w:r>
                      <w:t>57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DB3F9">
    <w:pPr>
      <w:pStyle w:val="10"/>
      <w:pBdr>
        <w:bottom w:val="none" w:color="auto" w:sz="0" w:space="0"/>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160FD3"/>
    <w:rsid w:val="11737A50"/>
    <w:rsid w:val="25E146DC"/>
    <w:rsid w:val="27CB240B"/>
    <w:rsid w:val="34B3387E"/>
    <w:rsid w:val="3CC673ED"/>
    <w:rsid w:val="3E160FD3"/>
    <w:rsid w:val="41DB3D45"/>
    <w:rsid w:val="46642B1E"/>
    <w:rsid w:val="49BF21A8"/>
    <w:rsid w:val="4A4660B6"/>
    <w:rsid w:val="4EC14DA4"/>
    <w:rsid w:val="614F0885"/>
    <w:rsid w:val="6D653C87"/>
    <w:rsid w:val="75AC3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120" w:line="412" w:lineRule="auto"/>
      <w:ind w:firstLine="200" w:firstLineChars="200"/>
      <w:outlineLvl w:val="1"/>
    </w:pPr>
    <w:rPr>
      <w:rFonts w:ascii="Cambria" w:hAnsi="Cambria" w:eastAsia="宋体" w:cs="宋体"/>
      <w:b/>
      <w:bCs/>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3">
    <w:name w:val="List 3"/>
    <w:basedOn w:val="1"/>
    <w:next w:val="1"/>
    <w:qFormat/>
    <w:uiPriority w:val="0"/>
    <w:pPr>
      <w:spacing w:line="288" w:lineRule="auto"/>
      <w:ind w:left="1260" w:hanging="420"/>
    </w:pPr>
    <w:rPr>
      <w:rFonts w:ascii="Calibri" w:hAnsi="Calibri" w:eastAsia="仿宋" w:cs="宋体"/>
    </w:rPr>
  </w:style>
  <w:style w:type="paragraph" w:styleId="7">
    <w:name w:val="Body Text"/>
    <w:basedOn w:val="1"/>
    <w:qFormat/>
    <w:uiPriority w:val="1"/>
    <w:pPr>
      <w:ind w:left="151"/>
    </w:pPr>
    <w:rPr>
      <w:rFonts w:ascii="宋体" w:hAnsi="宋体" w:eastAsia="宋体" w:cs="宋体"/>
      <w:sz w:val="32"/>
      <w:szCs w:val="32"/>
      <w:lang w:val="zh-CN" w:eastAsia="zh-CN" w:bidi="zh-CN"/>
    </w:rPr>
  </w:style>
  <w:style w:type="paragraph" w:styleId="8">
    <w:name w:val="Body Text Indent"/>
    <w:basedOn w:val="1"/>
    <w:qFormat/>
    <w:uiPriority w:val="0"/>
    <w:pPr>
      <w:ind w:firstLine="640" w:firstLineChars="200"/>
    </w:pPr>
    <w:rPr>
      <w:rFonts w:eastAsia="方正仿宋_GBK"/>
      <w:kern w:val="0"/>
      <w:sz w:val="32"/>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Subtitle"/>
    <w:basedOn w:val="1"/>
    <w:next w:val="1"/>
    <w:qFormat/>
    <w:uiPriority w:val="11"/>
    <w:pPr>
      <w:ind w:firstLine="0" w:firstLineChars="0"/>
      <w:jc w:val="center"/>
    </w:pPr>
    <w:rPr>
      <w:rFonts w:eastAsia="宋体" w:cs="Times New Roman"/>
      <w:bCs/>
      <w:kern w:val="28"/>
      <w:sz w:val="21"/>
      <w:szCs w:val="32"/>
    </w:rPr>
  </w:style>
  <w:style w:type="paragraph" w:styleId="13">
    <w:name w:val="toc 2"/>
    <w:basedOn w:val="1"/>
    <w:next w:val="1"/>
    <w:qFormat/>
    <w:uiPriority w:val="0"/>
    <w:pPr>
      <w:ind w:left="420" w:leftChars="200"/>
    </w:pPr>
  </w:style>
  <w:style w:type="paragraph" w:styleId="14">
    <w:name w:val="Normal (Web)"/>
    <w:basedOn w:val="1"/>
    <w:qFormat/>
    <w:uiPriority w:val="0"/>
    <w:pPr>
      <w:widowControl/>
      <w:jc w:val="left"/>
    </w:pPr>
    <w:rPr>
      <w:rFonts w:ascii="宋体" w:hAnsi="宋体" w:cs="宋体"/>
      <w:color w:val="000000"/>
      <w:kern w:val="0"/>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rPr>
  </w:style>
  <w:style w:type="character" w:styleId="19">
    <w:name w:val="page number"/>
    <w:basedOn w:val="17"/>
    <w:qFormat/>
    <w:uiPriority w:val="0"/>
  </w:style>
  <w:style w:type="paragraph" w:styleId="20">
    <w:name w:val="List Paragraph"/>
    <w:basedOn w:val="1"/>
    <w:qFormat/>
    <w:uiPriority w:val="0"/>
    <w:pPr>
      <w:ind w:firstLine="420" w:firstLineChars="200"/>
    </w:pPr>
  </w:style>
  <w:style w:type="paragraph" w:customStyle="1" w:styleId="21">
    <w:name w:val="表格"/>
    <w:basedOn w:val="22"/>
    <w:next w:val="1"/>
    <w:qFormat/>
    <w:uiPriority w:val="0"/>
    <w:pPr>
      <w:adjustRightInd w:val="0"/>
      <w:jc w:val="center"/>
    </w:pPr>
    <w:rPr>
      <w:spacing w:val="10"/>
      <w:kern w:val="0"/>
      <w:sz w:val="20"/>
      <w:szCs w:val="20"/>
    </w:rPr>
  </w:style>
  <w:style w:type="paragraph" w:customStyle="1" w:styleId="22">
    <w:name w:val="文本"/>
    <w:basedOn w:val="1"/>
    <w:qFormat/>
    <w:uiPriority w:val="0"/>
    <w:pPr>
      <w:spacing w:line="360" w:lineRule="auto"/>
      <w:ind w:firstLine="883" w:firstLineChars="200"/>
    </w:pPr>
    <w:rPr>
      <w:rFonts w:ascii="Times New Roman" w:hAnsi="Times New Roman"/>
      <w:sz w:val="24"/>
    </w:rPr>
  </w:style>
  <w:style w:type="paragraph" w:customStyle="1" w:styleId="23">
    <w:name w:val="大纲正文"/>
    <w:basedOn w:val="1"/>
    <w:qFormat/>
    <w:uiPriority w:val="0"/>
    <w:pPr>
      <w:adjustRightInd w:val="0"/>
      <w:snapToGrid w:val="0"/>
      <w:spacing w:line="360" w:lineRule="auto"/>
      <w:ind w:firstLine="200" w:firstLineChars="200"/>
    </w:pPr>
    <w:rPr>
      <w:rFonts w:eastAsia="仿宋_GB2312"/>
      <w:kern w:val="0"/>
      <w:sz w:val="28"/>
      <w:szCs w:val="20"/>
    </w:rPr>
  </w:style>
  <w:style w:type="paragraph" w:customStyle="1" w:styleId="24">
    <w:name w:val="L表内容"/>
    <w:basedOn w:val="1"/>
    <w:qFormat/>
    <w:uiPriority w:val="0"/>
    <w:pPr>
      <w:spacing w:line="0" w:lineRule="atLeast"/>
      <w:jc w:val="center"/>
    </w:pPr>
    <w:rPr>
      <w:szCs w:val="22"/>
    </w:rPr>
  </w:style>
  <w:style w:type="paragraph" w:customStyle="1" w:styleId="25">
    <w:name w:val="_Style 2"/>
    <w:basedOn w:val="1"/>
    <w:qFormat/>
    <w:uiPriority w:val="0"/>
    <w:pPr>
      <w:spacing w:line="360" w:lineRule="auto"/>
      <w:ind w:firstLine="420" w:firstLineChars="200"/>
    </w:pPr>
    <w:rPr>
      <w:szCs w:val="21"/>
    </w:rPr>
  </w:style>
  <w:style w:type="paragraph" w:customStyle="1" w:styleId="26">
    <w:name w:val="表格 123"/>
    <w:basedOn w:val="1"/>
    <w:qFormat/>
    <w:uiPriority w:val="0"/>
    <w:pPr>
      <w:adjustRightInd w:val="0"/>
      <w:snapToGrid w:val="0"/>
      <w:spacing w:line="320" w:lineRule="exact"/>
      <w:ind w:firstLine="0" w:firstLineChars="0"/>
      <w:jc w:val="center"/>
    </w:pPr>
    <w:rPr>
      <w:sz w:val="22"/>
    </w:rPr>
  </w:style>
  <w:style w:type="paragraph" w:customStyle="1" w:styleId="27">
    <w:name w:val="Table Paragraph"/>
    <w:basedOn w:val="1"/>
    <w:qFormat/>
    <w:uiPriority w:val="1"/>
    <w:pPr>
      <w:autoSpaceDE w:val="0"/>
      <w:autoSpaceDN w:val="0"/>
      <w:jc w:val="left"/>
    </w:pPr>
    <w:rPr>
      <w:rFonts w:ascii="方正仿宋_GBK" w:hAnsi="方正仿宋_GBK" w:eastAsia="方正仿宋_GBK" w:cs="方正仿宋_GBK"/>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15.jpeg"/><Relationship Id="rId24" Type="http://schemas.openxmlformats.org/officeDocument/2006/relationships/image" Target="media/image14.emf"/><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extobjs>
    <extobj name="F360BE8B-6686-4F3D-AEAF-501FE73E4058-1">
      <extobjdata type="F360BE8B-6686-4F3D-AEAF-501FE73E4058" data="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19496</Words>
  <Characters>20671</Characters>
  <Lines>0</Lines>
  <Paragraphs>0</Paragraphs>
  <TotalTime>0</TotalTime>
  <ScaleCrop>false</ScaleCrop>
  <LinksUpToDate>false</LinksUpToDate>
  <CharactersWithSpaces>20950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2025-10-20T06:57:00Z</dcterms:created>
  <dc:creator>153****3635</dc:creator>
  <cp:lastModifiedBy>153****3635</cp:lastModifiedBy>
  <cp:lastPrinted>2025-11-25T02:07:00Z</cp:lastPrinted>
  <dcterms:modified xsi:type="dcterms:W3CDTF">2026-07-17T06:44:57Z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576BDF1A19EF4F059502B3EAC9001F89_11</vt:lpwstr>
  </property>
  <property fmtid="{D5CDD505-2E9C-101B-9397-08002B2CF9AE}" pid="4" name="KSOTemplateDocerSaveRecord">
    <vt:lpwstr>eyJoZGlkIjoiNDJlZGQ3NmFiOTcyMGU4MmZlMjk5ZTNkYzc4Zjc3N2QiLCJ1c2VySWQiOiIxNDM5MzAxNTU3In0=</vt:lpwstr>
  </property>
</Properties>
</file>