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2AF3E">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0F54847">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9A17E29">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开州区五通乡老林沟饮用水源地</w:t>
      </w:r>
    </w:p>
    <w:p w14:paraId="1606AB56">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rPr>
      </w:pPr>
      <w:r>
        <w:rPr>
          <w:rFonts w:hint="eastAsia" w:asciiTheme="minorEastAsia" w:hAnsiTheme="minorEastAsia" w:eastAsiaTheme="minorEastAsia" w:cstheme="minorEastAsia"/>
          <w:b/>
          <w:bCs/>
          <w:sz w:val="52"/>
          <w:szCs w:val="52"/>
        </w:rPr>
        <w:t>突发环境事件应急预案</w:t>
      </w:r>
    </w:p>
    <w:p w14:paraId="231CDBD2">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44AB6C8">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671CE366">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38ADE974">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6B3C09F">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B8A2367">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 xml:space="preserve">                预案编号：</w:t>
      </w:r>
      <w:r>
        <w:rPr>
          <w:rFonts w:hint="eastAsia" w:asciiTheme="minorEastAsia" w:hAnsiTheme="minorEastAsia" w:eastAsiaTheme="minorEastAsia" w:cstheme="minorEastAsia"/>
          <w:sz w:val="28"/>
          <w:szCs w:val="28"/>
          <w:lang w:val="en-US" w:eastAsia="zh-CN"/>
        </w:rPr>
        <w:t xml:space="preserve">LLGYYSYD 2025-1 </w:t>
      </w:r>
    </w:p>
    <w:p w14:paraId="1A66CD0A">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版 本 号：</w:t>
      </w:r>
      <w:r>
        <w:rPr>
          <w:rFonts w:hint="eastAsia" w:asciiTheme="minorEastAsia" w:hAnsiTheme="minorEastAsia" w:eastAsiaTheme="minorEastAsia" w:cstheme="minorEastAsia"/>
          <w:sz w:val="28"/>
          <w:szCs w:val="28"/>
          <w:lang w:val="en-US" w:eastAsia="zh-CN"/>
        </w:rPr>
        <w:t>2025-1</w:t>
      </w:r>
      <w:r>
        <w:rPr>
          <w:rFonts w:hint="eastAsia" w:asciiTheme="minorEastAsia" w:hAnsiTheme="minorEastAsia" w:eastAsiaTheme="minorEastAsia" w:cstheme="minorEastAsia"/>
          <w:sz w:val="28"/>
          <w:szCs w:val="28"/>
        </w:rPr>
        <w:t xml:space="preserve">  </w:t>
      </w:r>
    </w:p>
    <w:p w14:paraId="57DC8102">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颁布日期：</w:t>
      </w:r>
      <w:r>
        <w:rPr>
          <w:rFonts w:hint="eastAsia" w:asciiTheme="minorEastAsia" w:hAnsiTheme="minorEastAsia" w:eastAsiaTheme="minorEastAsia" w:cstheme="minorEastAsia"/>
          <w:sz w:val="28"/>
          <w:szCs w:val="28"/>
          <w:lang w:val="en-US" w:eastAsia="zh-CN"/>
        </w:rPr>
        <w:t xml:space="preserve">2025年11月  </w:t>
      </w:r>
      <w:r>
        <w:rPr>
          <w:rFonts w:hint="eastAsia" w:asciiTheme="minorEastAsia" w:hAnsiTheme="minorEastAsia" w:eastAsiaTheme="minorEastAsia" w:cstheme="minorEastAsia"/>
          <w:sz w:val="28"/>
          <w:szCs w:val="28"/>
        </w:rPr>
        <w:t xml:space="preserve">  </w:t>
      </w:r>
    </w:p>
    <w:p w14:paraId="320A05B7">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F353913">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181C76F">
      <w:pPr>
        <w:pStyle w:val="8"/>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4E805E2F">
      <w:pPr>
        <w:pStyle w:val="8"/>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eastAsia="zh-CN"/>
        </w:rPr>
        <w:t>重庆市开州区</w:t>
      </w:r>
      <w:r>
        <w:rPr>
          <w:rFonts w:hint="eastAsia" w:asciiTheme="minorEastAsia" w:hAnsiTheme="minorEastAsia" w:eastAsiaTheme="minorEastAsia" w:cstheme="minorEastAsia"/>
          <w:b/>
          <w:bCs/>
          <w:sz w:val="32"/>
          <w:szCs w:val="32"/>
          <w:lang w:val="en-US" w:eastAsia="zh-CN"/>
        </w:rPr>
        <w:t>五通乡人民政府</w:t>
      </w:r>
    </w:p>
    <w:p w14:paraId="7120B30E">
      <w:pPr>
        <w:pStyle w:val="8"/>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2025</w:t>
      </w:r>
      <w:r>
        <w:rPr>
          <w:rFonts w:hint="eastAsia" w:asciiTheme="minorEastAsia" w:hAnsiTheme="minorEastAsia" w:eastAsiaTheme="minorEastAsia" w:cstheme="minorEastAsia"/>
          <w:b/>
          <w:bCs/>
          <w:sz w:val="32"/>
          <w:szCs w:val="32"/>
        </w:rPr>
        <w:t>年</w:t>
      </w:r>
      <w:r>
        <w:rPr>
          <w:rFonts w:hint="eastAsia" w:asciiTheme="minorEastAsia" w:hAnsiTheme="minorEastAsia" w:eastAsiaTheme="minorEastAsia" w:cstheme="minorEastAsia"/>
          <w:b/>
          <w:bCs/>
          <w:sz w:val="32"/>
          <w:szCs w:val="32"/>
          <w:lang w:val="en-US" w:eastAsia="zh-CN"/>
        </w:rPr>
        <w:t>11</w:t>
      </w:r>
      <w:r>
        <w:rPr>
          <w:rFonts w:hint="eastAsia" w:asciiTheme="minorEastAsia" w:hAnsiTheme="minorEastAsia" w:eastAsiaTheme="minorEastAsia" w:cstheme="minorEastAsia"/>
          <w:b/>
          <w:bCs/>
          <w:sz w:val="32"/>
          <w:szCs w:val="32"/>
        </w:rPr>
        <w:t>月</w:t>
      </w:r>
    </w:p>
    <w:p w14:paraId="6D0651AF">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14:paraId="7DD5BFA7">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sdt>
      <w:sdtPr>
        <w:rPr>
          <w:rFonts w:ascii="宋体" w:hAnsi="宋体" w:eastAsia="宋体" w:cs="Times New Roman"/>
          <w:kern w:val="2"/>
          <w:sz w:val="21"/>
          <w:szCs w:val="21"/>
          <w:lang w:val="en-US" w:eastAsia="zh-CN" w:bidi="ar-SA"/>
        </w:rPr>
        <w:id w:val="147471964"/>
        <w15:color w:val="DBDBDB"/>
        <w:docPartObj>
          <w:docPartGallery w:val="Table of Contents"/>
          <w:docPartUnique/>
        </w:docPartObj>
      </w:sdtPr>
      <w:sdtEndPr>
        <w:rPr>
          <w:rFonts w:hint="eastAsia" w:asciiTheme="minorEastAsia" w:hAnsiTheme="minorEastAsia" w:eastAsiaTheme="minorEastAsia" w:cstheme="minorEastAsia"/>
          <w:b/>
          <w:bCs/>
          <w:kern w:val="2"/>
          <w:sz w:val="32"/>
          <w:szCs w:val="32"/>
          <w:lang w:val="zh-CN" w:eastAsia="zh-CN" w:bidi="zh-CN"/>
        </w:rPr>
      </w:sdtEndPr>
      <w:sdtContent>
        <w:p w14:paraId="466BD75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5941708A">
          <w:pPr>
            <w:pStyle w:val="12"/>
            <w:tabs>
              <w:tab w:val="right" w:leader="dot" w:pos="9026"/>
            </w:tabs>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TOC \o "1-2" \h \u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_Toc7210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1总则</w:t>
          </w:r>
          <w:r>
            <w:tab/>
          </w:r>
          <w:r>
            <w:fldChar w:fldCharType="begin"/>
          </w:r>
          <w:r>
            <w:instrText xml:space="preserve"> PAGEREF _Toc7210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6554460D">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_Toc1485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1.1</w:t>
          </w:r>
          <w:r>
            <w:rPr>
              <w:rFonts w:hint="eastAsia" w:ascii="宋体" w:hAnsi="宋体" w:cs="宋体"/>
              <w:bCs/>
              <w:szCs w:val="28"/>
              <w:lang w:val="en-US" w:eastAsia="zh-CN"/>
            </w:rPr>
            <w:t xml:space="preserve"> </w:t>
          </w:r>
          <w:r>
            <w:rPr>
              <w:rFonts w:hint="eastAsia" w:ascii="宋体" w:hAnsi="宋体" w:eastAsia="宋体" w:cs="宋体"/>
              <w:bCs/>
              <w:szCs w:val="28"/>
            </w:rPr>
            <w:t>编制目的</w:t>
          </w:r>
          <w:r>
            <w:tab/>
          </w:r>
          <w:r>
            <w:fldChar w:fldCharType="begin"/>
          </w:r>
          <w:r>
            <w:instrText xml:space="preserve"> PAGEREF _Toc1485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5138CC93">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_Toc480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1.2</w:t>
          </w:r>
          <w:r>
            <w:rPr>
              <w:rFonts w:hint="eastAsia" w:ascii="宋体" w:hAnsi="宋体" w:eastAsia="宋体" w:cs="宋体"/>
              <w:bCs/>
              <w:szCs w:val="28"/>
              <w:lang w:val="en-US" w:eastAsia="zh-CN"/>
            </w:rPr>
            <w:t xml:space="preserve"> </w:t>
          </w:r>
          <w:r>
            <w:rPr>
              <w:rFonts w:hint="eastAsia" w:ascii="宋体" w:hAnsi="宋体" w:eastAsia="宋体" w:cs="宋体"/>
              <w:bCs/>
              <w:szCs w:val="28"/>
            </w:rPr>
            <w:t>适用范围</w:t>
          </w:r>
          <w:r>
            <w:tab/>
          </w:r>
          <w:r>
            <w:fldChar w:fldCharType="begin"/>
          </w:r>
          <w:r>
            <w:instrText xml:space="preserve"> PAGEREF _Toc480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5CC057CF">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_Toc16483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1.3</w:t>
          </w:r>
          <w:r>
            <w:rPr>
              <w:rFonts w:hint="eastAsia" w:ascii="宋体" w:hAnsi="宋体" w:eastAsia="宋体" w:cs="宋体"/>
              <w:bCs/>
              <w:szCs w:val="28"/>
              <w:lang w:val="en-US" w:eastAsia="zh-CN"/>
            </w:rPr>
            <w:t xml:space="preserve"> </w:t>
          </w:r>
          <w:r>
            <w:rPr>
              <w:rFonts w:hint="eastAsia" w:ascii="宋体" w:hAnsi="宋体" w:eastAsia="宋体" w:cs="宋体"/>
              <w:bCs/>
              <w:szCs w:val="28"/>
            </w:rPr>
            <w:t>编制依据</w:t>
          </w:r>
          <w:r>
            <w:tab/>
          </w:r>
          <w:r>
            <w:fldChar w:fldCharType="begin"/>
          </w:r>
          <w:r>
            <w:instrText xml:space="preserve"> PAGEREF _Toc16483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6735EFAB">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_Toc5010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w:t>
          </w:r>
          <w:r>
            <w:rPr>
              <w:rFonts w:hint="eastAsia" w:ascii="宋体" w:hAnsi="宋体" w:eastAsia="宋体" w:cs="宋体"/>
              <w:bCs/>
              <w:szCs w:val="28"/>
              <w:lang w:val="en-US" w:eastAsia="zh-CN"/>
            </w:rPr>
            <w:t xml:space="preserve">4 </w:t>
          </w:r>
          <w:r>
            <w:rPr>
              <w:rFonts w:hint="eastAsia" w:ascii="宋体" w:hAnsi="宋体" w:eastAsia="宋体" w:cs="宋体"/>
              <w:bCs/>
              <w:szCs w:val="28"/>
            </w:rPr>
            <w:t>工作原则</w:t>
          </w:r>
          <w:r>
            <w:tab/>
          </w:r>
          <w:r>
            <w:fldChar w:fldCharType="begin"/>
          </w:r>
          <w:r>
            <w:instrText xml:space="preserve"> PAGEREF _Toc5010 \h </w:instrText>
          </w:r>
          <w:r>
            <w:fldChar w:fldCharType="separate"/>
          </w:r>
          <w:r>
            <w:t>3</w:t>
          </w:r>
          <w:r>
            <w:fldChar w:fldCharType="end"/>
          </w:r>
          <w:r>
            <w:rPr>
              <w:rFonts w:hint="eastAsia" w:asciiTheme="minorEastAsia" w:hAnsiTheme="minorEastAsia" w:eastAsiaTheme="minorEastAsia" w:cstheme="minorEastAsia"/>
              <w:bCs/>
              <w:szCs w:val="32"/>
            </w:rPr>
            <w:fldChar w:fldCharType="end"/>
          </w:r>
        </w:p>
        <w:p w14:paraId="785C3ED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_Toc14603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zh-CN"/>
            </w:rPr>
            <w:t>1.</w:t>
          </w:r>
          <w:r>
            <w:rPr>
              <w:rFonts w:hint="eastAsia" w:ascii="宋体" w:hAnsi="宋体" w:eastAsia="宋体" w:cs="宋体"/>
              <w:bCs/>
              <w:szCs w:val="28"/>
              <w:lang w:val="en-US" w:eastAsia="zh-CN"/>
            </w:rPr>
            <w:t xml:space="preserve">5 </w:t>
          </w:r>
          <w:r>
            <w:rPr>
              <w:rFonts w:hint="eastAsia" w:ascii="宋体" w:hAnsi="宋体" w:eastAsia="宋体" w:cs="宋体"/>
              <w:bCs/>
              <w:szCs w:val="28"/>
              <w:lang w:val="zh-CN"/>
            </w:rPr>
            <w:t>应急预案体系</w:t>
          </w:r>
          <w:r>
            <w:tab/>
          </w:r>
          <w:r>
            <w:fldChar w:fldCharType="begin"/>
          </w:r>
          <w:r>
            <w:instrText xml:space="preserve"> PAGEREF _Toc14603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4DECC76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_Toc18947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1.6 事件分级</w:t>
          </w:r>
          <w:r>
            <w:tab/>
          </w:r>
          <w:r>
            <w:fldChar w:fldCharType="begin"/>
          </w:r>
          <w:r>
            <w:instrText xml:space="preserve"> PAGEREF _Toc18947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3D79904B">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_Toc14245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2</w:t>
          </w:r>
          <w:r>
            <w:rPr>
              <w:rFonts w:hint="eastAsia" w:ascii="宋体" w:hAnsi="宋体" w:cs="宋体"/>
              <w:bCs/>
              <w:szCs w:val="32"/>
              <w:lang w:val="en-US" w:eastAsia="zh-CN"/>
            </w:rPr>
            <w:t xml:space="preserve"> </w:t>
          </w:r>
          <w:r>
            <w:rPr>
              <w:rFonts w:hint="eastAsia" w:ascii="宋体" w:hAnsi="宋体" w:eastAsia="宋体" w:cs="宋体"/>
              <w:bCs/>
              <w:szCs w:val="32"/>
              <w:lang w:val="en-US" w:eastAsia="zh-CN"/>
            </w:rPr>
            <w:t>开州区五通乡老林沟饮用水水源地基础信息</w:t>
          </w:r>
          <w:r>
            <w:tab/>
          </w:r>
          <w:r>
            <w:fldChar w:fldCharType="begin"/>
          </w:r>
          <w:r>
            <w:instrText xml:space="preserve"> PAGEREF _Toc14245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6132F9AA">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_Toc24334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2.1 开州区五通乡老林沟水源地基础信息</w:t>
          </w:r>
          <w:r>
            <w:tab/>
          </w:r>
          <w:r>
            <w:fldChar w:fldCharType="begin"/>
          </w:r>
          <w:r>
            <w:instrText xml:space="preserve"> PAGEREF _Toc24334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145BB64A">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_Toc25116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2.2 饮用水源地保护区划分情况简介</w:t>
          </w:r>
          <w:r>
            <w:tab/>
          </w:r>
          <w:r>
            <w:fldChar w:fldCharType="begin"/>
          </w:r>
          <w:r>
            <w:instrText xml:space="preserve"> PAGEREF _Toc25116 \h </w:instrText>
          </w:r>
          <w:r>
            <w:fldChar w:fldCharType="separate"/>
          </w:r>
          <w:r>
            <w:t>7</w:t>
          </w:r>
          <w:r>
            <w:fldChar w:fldCharType="end"/>
          </w:r>
          <w:r>
            <w:rPr>
              <w:rFonts w:hint="eastAsia" w:asciiTheme="minorEastAsia" w:hAnsiTheme="minorEastAsia" w:eastAsiaTheme="minorEastAsia" w:cstheme="minorEastAsia"/>
              <w:bCs/>
              <w:szCs w:val="32"/>
            </w:rPr>
            <w:fldChar w:fldCharType="end"/>
          </w:r>
        </w:p>
        <w:p w14:paraId="7165C29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_Toc20101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2.3 饮用水水源地规范化建设现状调查</w:t>
          </w:r>
          <w:r>
            <w:tab/>
          </w:r>
          <w:r>
            <w:fldChar w:fldCharType="begin"/>
          </w:r>
          <w:r>
            <w:instrText xml:space="preserve"> PAGEREF _Toc20101 \h </w:instrText>
          </w:r>
          <w:r>
            <w:fldChar w:fldCharType="separate"/>
          </w:r>
          <w:r>
            <w:t>8</w:t>
          </w:r>
          <w:r>
            <w:fldChar w:fldCharType="end"/>
          </w:r>
          <w:r>
            <w:rPr>
              <w:rFonts w:hint="eastAsia" w:asciiTheme="minorEastAsia" w:hAnsiTheme="minorEastAsia" w:eastAsiaTheme="minorEastAsia" w:cstheme="minorEastAsia"/>
              <w:bCs/>
              <w:szCs w:val="32"/>
            </w:rPr>
            <w:fldChar w:fldCharType="end"/>
          </w:r>
        </w:p>
        <w:p w14:paraId="08D6937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_Toc17472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2.4 水源地环境风险</w:t>
          </w:r>
          <w:r>
            <w:tab/>
          </w:r>
          <w:r>
            <w:fldChar w:fldCharType="begin"/>
          </w:r>
          <w:r>
            <w:instrText xml:space="preserve"> PAGEREF _Toc17472 \h </w:instrText>
          </w:r>
          <w:r>
            <w:fldChar w:fldCharType="separate"/>
          </w:r>
          <w:r>
            <w:t>16</w:t>
          </w:r>
          <w:r>
            <w:fldChar w:fldCharType="end"/>
          </w:r>
          <w:r>
            <w:rPr>
              <w:rFonts w:hint="eastAsia" w:asciiTheme="minorEastAsia" w:hAnsiTheme="minorEastAsia" w:eastAsiaTheme="minorEastAsia" w:cstheme="minorEastAsia"/>
              <w:bCs/>
              <w:szCs w:val="32"/>
            </w:rPr>
            <w:fldChar w:fldCharType="end"/>
          </w:r>
        </w:p>
        <w:p w14:paraId="0477ACA0">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_Toc7962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 应急组织机构体系及职责</w:t>
          </w:r>
          <w:r>
            <w:tab/>
          </w:r>
          <w:r>
            <w:fldChar w:fldCharType="begin"/>
          </w:r>
          <w:r>
            <w:instrText xml:space="preserve"> PAGEREF _Toc7962 \h </w:instrText>
          </w:r>
          <w:r>
            <w:fldChar w:fldCharType="separate"/>
          </w:r>
          <w:r>
            <w:t>18</w:t>
          </w:r>
          <w:r>
            <w:fldChar w:fldCharType="end"/>
          </w:r>
          <w:r>
            <w:rPr>
              <w:rFonts w:hint="eastAsia" w:asciiTheme="minorEastAsia" w:hAnsiTheme="minorEastAsia" w:eastAsiaTheme="minorEastAsia" w:cstheme="minorEastAsia"/>
              <w:bCs/>
              <w:szCs w:val="32"/>
            </w:rPr>
            <w:fldChar w:fldCharType="end"/>
          </w:r>
        </w:p>
        <w:p w14:paraId="5E726A3B">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_Toc21399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3.1 应急组织机构</w:t>
          </w:r>
          <w:r>
            <w:tab/>
          </w:r>
          <w:r>
            <w:fldChar w:fldCharType="begin"/>
          </w:r>
          <w:r>
            <w:instrText xml:space="preserve"> PAGEREF _Toc21399 \h </w:instrText>
          </w:r>
          <w:r>
            <w:fldChar w:fldCharType="separate"/>
          </w:r>
          <w:r>
            <w:t>18</w:t>
          </w:r>
          <w:r>
            <w:fldChar w:fldCharType="end"/>
          </w:r>
          <w:r>
            <w:rPr>
              <w:rFonts w:hint="eastAsia" w:asciiTheme="minorEastAsia" w:hAnsiTheme="minorEastAsia" w:eastAsiaTheme="minorEastAsia" w:cstheme="minorEastAsia"/>
              <w:bCs/>
              <w:szCs w:val="32"/>
            </w:rPr>
            <w:fldChar w:fldCharType="end"/>
          </w:r>
        </w:p>
        <w:p w14:paraId="41F8D698">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_Toc15216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3.2 应急工作机构及职责</w:t>
          </w:r>
          <w:r>
            <w:tab/>
          </w:r>
          <w:r>
            <w:fldChar w:fldCharType="begin"/>
          </w:r>
          <w:r>
            <w:instrText xml:space="preserve"> PAGEREF _Toc15216 \h </w:instrText>
          </w:r>
          <w:r>
            <w:fldChar w:fldCharType="separate"/>
          </w:r>
          <w:r>
            <w:t>18</w:t>
          </w:r>
          <w:r>
            <w:fldChar w:fldCharType="end"/>
          </w:r>
          <w:r>
            <w:rPr>
              <w:rFonts w:hint="eastAsia" w:asciiTheme="minorEastAsia" w:hAnsiTheme="minorEastAsia" w:eastAsiaTheme="minorEastAsia" w:cstheme="minorEastAsia"/>
              <w:bCs/>
              <w:szCs w:val="32"/>
            </w:rPr>
            <w:fldChar w:fldCharType="end"/>
          </w:r>
        </w:p>
        <w:p w14:paraId="3A158C41">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_Toc13987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4</w:t>
          </w:r>
          <w:r>
            <w:rPr>
              <w:rFonts w:hint="eastAsia" w:ascii="宋体" w:hAnsi="宋体" w:cs="宋体"/>
              <w:bCs/>
              <w:szCs w:val="32"/>
              <w:lang w:val="en-US" w:eastAsia="zh-CN"/>
            </w:rPr>
            <w:t xml:space="preserve"> </w:t>
          </w:r>
          <w:r>
            <w:rPr>
              <w:rFonts w:hint="eastAsia" w:cs="宋体"/>
              <w:bCs/>
              <w:szCs w:val="32"/>
              <w:lang w:val="en-US" w:eastAsia="zh-CN"/>
            </w:rPr>
            <w:t>应急响应</w:t>
          </w:r>
          <w:r>
            <w:tab/>
          </w:r>
          <w:r>
            <w:fldChar w:fldCharType="begin"/>
          </w:r>
          <w:r>
            <w:instrText xml:space="preserve"> PAGEREF _Toc13987 \h </w:instrText>
          </w:r>
          <w:r>
            <w:fldChar w:fldCharType="separate"/>
          </w:r>
          <w:r>
            <w:t>23</w:t>
          </w:r>
          <w:r>
            <w:fldChar w:fldCharType="end"/>
          </w:r>
          <w:r>
            <w:rPr>
              <w:rFonts w:hint="eastAsia" w:asciiTheme="minorEastAsia" w:hAnsiTheme="minorEastAsia" w:eastAsiaTheme="minorEastAsia" w:cstheme="minorEastAsia"/>
              <w:bCs/>
              <w:szCs w:val="32"/>
            </w:rPr>
            <w:fldChar w:fldCharType="end"/>
          </w:r>
        </w:p>
        <w:p w14:paraId="607306A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_Toc9410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.1</w:t>
          </w:r>
          <w:r>
            <w:rPr>
              <w:rFonts w:hint="eastAsia" w:ascii="宋体" w:hAnsi="宋体" w:cs="宋体"/>
              <w:bCs/>
              <w:szCs w:val="28"/>
              <w:lang w:val="en-US" w:eastAsia="zh-CN"/>
            </w:rPr>
            <w:t xml:space="preserve"> </w:t>
          </w:r>
          <w:r>
            <w:rPr>
              <w:rFonts w:hint="eastAsia" w:ascii="宋体" w:hAnsi="宋体" w:eastAsia="宋体" w:cs="宋体"/>
              <w:bCs/>
              <w:szCs w:val="28"/>
              <w:lang w:val="en-US" w:eastAsia="zh-CN"/>
            </w:rPr>
            <w:t>信息收集与研判</w:t>
          </w:r>
          <w:r>
            <w:tab/>
          </w:r>
          <w:r>
            <w:fldChar w:fldCharType="begin"/>
          </w:r>
          <w:r>
            <w:instrText xml:space="preserve"> PAGEREF _Toc9410 \h </w:instrText>
          </w:r>
          <w:r>
            <w:fldChar w:fldCharType="separate"/>
          </w:r>
          <w:r>
            <w:t>24</w:t>
          </w:r>
          <w:r>
            <w:fldChar w:fldCharType="end"/>
          </w:r>
          <w:r>
            <w:rPr>
              <w:rFonts w:hint="eastAsia" w:asciiTheme="minorEastAsia" w:hAnsiTheme="minorEastAsia" w:eastAsiaTheme="minorEastAsia" w:cstheme="minorEastAsia"/>
              <w:bCs/>
              <w:szCs w:val="32"/>
            </w:rPr>
            <w:fldChar w:fldCharType="end"/>
          </w:r>
        </w:p>
        <w:p w14:paraId="0457F6AC">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_Toc4972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w:t>
          </w:r>
          <w:r>
            <w:rPr>
              <w:rFonts w:hint="eastAsia" w:ascii="宋体" w:hAnsi="宋体" w:cs="宋体"/>
              <w:bCs/>
              <w:szCs w:val="28"/>
              <w:lang w:val="en-US" w:eastAsia="zh-CN"/>
            </w:rPr>
            <w:t>2</w:t>
          </w:r>
          <w:r>
            <w:rPr>
              <w:rFonts w:hint="eastAsia" w:ascii="宋体" w:hAnsi="宋体" w:eastAsia="宋体" w:cs="宋体"/>
              <w:bCs/>
              <w:szCs w:val="28"/>
              <w:lang w:val="en-US" w:eastAsia="zh-CN"/>
            </w:rPr>
            <w:t xml:space="preserve"> 预警</w:t>
          </w:r>
          <w:r>
            <w:tab/>
          </w:r>
          <w:r>
            <w:fldChar w:fldCharType="begin"/>
          </w:r>
          <w:r>
            <w:instrText xml:space="preserve"> PAGEREF _Toc4972 \h </w:instrText>
          </w:r>
          <w:r>
            <w:fldChar w:fldCharType="separate"/>
          </w:r>
          <w:r>
            <w:t>24</w:t>
          </w:r>
          <w:r>
            <w:fldChar w:fldCharType="end"/>
          </w:r>
          <w:r>
            <w:rPr>
              <w:rFonts w:hint="eastAsia" w:asciiTheme="minorEastAsia" w:hAnsiTheme="minorEastAsia" w:eastAsiaTheme="minorEastAsia" w:cstheme="minorEastAsia"/>
              <w:bCs/>
              <w:szCs w:val="32"/>
            </w:rPr>
            <w:fldChar w:fldCharType="end"/>
          </w:r>
        </w:p>
        <w:p w14:paraId="76B2C568">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_Toc21449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w:t>
          </w:r>
          <w:r>
            <w:rPr>
              <w:rFonts w:hint="eastAsia" w:ascii="宋体" w:hAnsi="宋体" w:cs="宋体"/>
              <w:bCs/>
              <w:szCs w:val="28"/>
              <w:lang w:val="en-US" w:eastAsia="zh-CN"/>
            </w:rPr>
            <w:t>3</w:t>
          </w:r>
          <w:r>
            <w:rPr>
              <w:rFonts w:hint="eastAsia" w:ascii="宋体" w:hAnsi="宋体" w:eastAsia="宋体" w:cs="宋体"/>
              <w:bCs/>
              <w:szCs w:val="28"/>
              <w:lang w:val="en-US" w:eastAsia="zh-CN"/>
            </w:rPr>
            <w:t xml:space="preserve"> 信息报告与通报</w:t>
          </w:r>
          <w:r>
            <w:tab/>
          </w:r>
          <w:r>
            <w:fldChar w:fldCharType="begin"/>
          </w:r>
          <w:r>
            <w:instrText xml:space="preserve"> PAGEREF _Toc21449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27391C9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_Toc1876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4.4 事态跟踪研判</w:t>
          </w:r>
          <w:r>
            <w:tab/>
          </w:r>
          <w:r>
            <w:fldChar w:fldCharType="begin"/>
          </w:r>
          <w:r>
            <w:instrText xml:space="preserve"> PAGEREF _Toc1876 \h </w:instrText>
          </w:r>
          <w:r>
            <w:fldChar w:fldCharType="separate"/>
          </w:r>
          <w:r>
            <w:t>29</w:t>
          </w:r>
          <w:r>
            <w:fldChar w:fldCharType="end"/>
          </w:r>
          <w:r>
            <w:rPr>
              <w:rFonts w:hint="eastAsia" w:asciiTheme="minorEastAsia" w:hAnsiTheme="minorEastAsia" w:eastAsiaTheme="minorEastAsia" w:cstheme="minorEastAsia"/>
              <w:bCs/>
              <w:szCs w:val="32"/>
            </w:rPr>
            <w:fldChar w:fldCharType="end"/>
          </w:r>
        </w:p>
        <w:p w14:paraId="51903AAD">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_Toc451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.5 应急监测</w:t>
          </w:r>
          <w:r>
            <w:tab/>
          </w:r>
          <w:r>
            <w:fldChar w:fldCharType="begin"/>
          </w:r>
          <w:r>
            <w:instrText xml:space="preserve"> PAGEREF _Toc451 \h </w:instrText>
          </w:r>
          <w:r>
            <w:fldChar w:fldCharType="separate"/>
          </w:r>
          <w:r>
            <w:t>29</w:t>
          </w:r>
          <w:r>
            <w:fldChar w:fldCharType="end"/>
          </w:r>
          <w:r>
            <w:rPr>
              <w:rFonts w:hint="eastAsia" w:asciiTheme="minorEastAsia" w:hAnsiTheme="minorEastAsia" w:eastAsiaTheme="minorEastAsia" w:cstheme="minorEastAsia"/>
              <w:bCs/>
              <w:szCs w:val="32"/>
            </w:rPr>
            <w:fldChar w:fldCharType="end"/>
          </w:r>
        </w:p>
        <w:p w14:paraId="0A9A932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_Toc14966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4.6 事故源排查与处置</w:t>
          </w:r>
          <w:r>
            <w:tab/>
          </w:r>
          <w:r>
            <w:fldChar w:fldCharType="begin"/>
          </w:r>
          <w:r>
            <w:instrText xml:space="preserve"> PAGEREF _Toc14966 \h </w:instrText>
          </w:r>
          <w:r>
            <w:fldChar w:fldCharType="separate"/>
          </w:r>
          <w:r>
            <w:t>32</w:t>
          </w:r>
          <w:r>
            <w:fldChar w:fldCharType="end"/>
          </w:r>
          <w:r>
            <w:rPr>
              <w:rFonts w:hint="eastAsia" w:asciiTheme="minorEastAsia" w:hAnsiTheme="minorEastAsia" w:eastAsiaTheme="minorEastAsia" w:cstheme="minorEastAsia"/>
              <w:bCs/>
              <w:szCs w:val="32"/>
            </w:rPr>
            <w:fldChar w:fldCharType="end"/>
          </w:r>
        </w:p>
        <w:p w14:paraId="4BFC950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_Toc8909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.7 应急处置</w:t>
          </w:r>
          <w:r>
            <w:tab/>
          </w:r>
          <w:r>
            <w:fldChar w:fldCharType="begin"/>
          </w:r>
          <w:r>
            <w:instrText xml:space="preserve"> PAGEREF _Toc8909 \h </w:instrText>
          </w:r>
          <w:r>
            <w:fldChar w:fldCharType="separate"/>
          </w:r>
          <w:r>
            <w:t>34</w:t>
          </w:r>
          <w:r>
            <w:fldChar w:fldCharType="end"/>
          </w:r>
          <w:r>
            <w:rPr>
              <w:rFonts w:hint="eastAsia" w:asciiTheme="minorEastAsia" w:hAnsiTheme="minorEastAsia" w:eastAsiaTheme="minorEastAsia" w:cstheme="minorEastAsia"/>
              <w:bCs/>
              <w:szCs w:val="32"/>
            </w:rPr>
            <w:fldChar w:fldCharType="end"/>
          </w:r>
        </w:p>
        <w:p w14:paraId="2D0F2F41">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_Toc21287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4.8 物资调集及应急设施启用</w:t>
          </w:r>
          <w:r>
            <w:tab/>
          </w:r>
          <w:r>
            <w:fldChar w:fldCharType="begin"/>
          </w:r>
          <w:r>
            <w:instrText xml:space="preserve"> PAGEREF _Toc21287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7938621B">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_Toc25581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4.9 舆情监测与信息发布</w:t>
          </w:r>
          <w:r>
            <w:tab/>
          </w:r>
          <w:r>
            <w:fldChar w:fldCharType="begin"/>
          </w:r>
          <w:r>
            <w:instrText xml:space="preserve"> PAGEREF _Toc25581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04BBA990">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_Toc29263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4.10 响应终止</w:t>
          </w:r>
          <w:r>
            <w:tab/>
          </w:r>
          <w:r>
            <w:fldChar w:fldCharType="begin"/>
          </w:r>
          <w:r>
            <w:instrText xml:space="preserve"> PAGEREF _Toc29263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0680B042">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_Toc21114 </w:instrText>
          </w:r>
          <w:r>
            <w:rPr>
              <w:rFonts w:hint="eastAsia" w:asciiTheme="minorEastAsia" w:hAnsiTheme="minorEastAsia" w:eastAsiaTheme="minorEastAsia" w:cstheme="minorEastAsia"/>
              <w:bCs/>
              <w:szCs w:val="32"/>
            </w:rPr>
            <w:fldChar w:fldCharType="separate"/>
          </w:r>
          <w:r>
            <w:rPr>
              <w:rFonts w:hint="eastAsia" w:cs="宋体"/>
              <w:bCs/>
              <w:szCs w:val="32"/>
              <w:lang w:val="en-US" w:eastAsia="zh-CN"/>
            </w:rPr>
            <w:t>5</w:t>
          </w:r>
          <w:r>
            <w:rPr>
              <w:rFonts w:hint="eastAsia" w:ascii="宋体" w:hAnsi="宋体" w:eastAsia="宋体" w:cs="宋体"/>
              <w:bCs/>
              <w:szCs w:val="32"/>
              <w:lang w:val="en-US" w:eastAsia="zh-CN"/>
            </w:rPr>
            <w:t xml:space="preserve"> </w:t>
          </w:r>
          <w:r>
            <w:rPr>
              <w:rFonts w:hint="eastAsia" w:cs="宋体"/>
              <w:bCs/>
              <w:szCs w:val="32"/>
              <w:lang w:val="en-US" w:eastAsia="zh-CN"/>
            </w:rPr>
            <w:t>后期工作</w:t>
          </w:r>
          <w:r>
            <w:tab/>
          </w:r>
          <w:r>
            <w:fldChar w:fldCharType="begin"/>
          </w:r>
          <w:r>
            <w:instrText xml:space="preserve"> PAGEREF _Toc21114 \h </w:instrText>
          </w:r>
          <w:r>
            <w:fldChar w:fldCharType="separate"/>
          </w:r>
          <w:r>
            <w:t>39</w:t>
          </w:r>
          <w:r>
            <w:fldChar w:fldCharType="end"/>
          </w:r>
          <w:r>
            <w:rPr>
              <w:rFonts w:hint="eastAsia" w:asciiTheme="minorEastAsia" w:hAnsiTheme="minorEastAsia" w:eastAsiaTheme="minorEastAsia" w:cstheme="minorEastAsia"/>
              <w:bCs/>
              <w:szCs w:val="32"/>
            </w:rPr>
            <w:fldChar w:fldCharType="end"/>
          </w:r>
        </w:p>
        <w:p w14:paraId="685395B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_Toc26547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.1 后期防控</w:t>
          </w:r>
          <w:r>
            <w:tab/>
          </w:r>
          <w:r>
            <w:fldChar w:fldCharType="begin"/>
          </w:r>
          <w:r>
            <w:instrText xml:space="preserve"> PAGEREF _Toc26547 \h </w:instrText>
          </w:r>
          <w:r>
            <w:fldChar w:fldCharType="separate"/>
          </w:r>
          <w:r>
            <w:t>39</w:t>
          </w:r>
          <w:r>
            <w:fldChar w:fldCharType="end"/>
          </w:r>
          <w:r>
            <w:rPr>
              <w:rFonts w:hint="eastAsia" w:asciiTheme="minorEastAsia" w:hAnsiTheme="minorEastAsia" w:eastAsiaTheme="minorEastAsia" w:cstheme="minorEastAsia"/>
              <w:bCs/>
              <w:szCs w:val="32"/>
            </w:rPr>
            <w:fldChar w:fldCharType="end"/>
          </w:r>
        </w:p>
        <w:p w14:paraId="7CB3B64D">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_Toc16331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.2 事件调查</w:t>
          </w:r>
          <w:r>
            <w:tab/>
          </w:r>
          <w:r>
            <w:fldChar w:fldCharType="begin"/>
          </w:r>
          <w:r>
            <w:instrText xml:space="preserve"> PAGEREF _Toc16331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2D9D04BA">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_Toc1384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.3 损害评估</w:t>
          </w:r>
          <w:r>
            <w:tab/>
          </w:r>
          <w:r>
            <w:fldChar w:fldCharType="begin"/>
          </w:r>
          <w:r>
            <w:instrText xml:space="preserve"> PAGEREF _Toc1384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5BE0B2FC">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_Toc19281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.4 善后处置</w:t>
          </w:r>
          <w:r>
            <w:tab/>
          </w:r>
          <w:r>
            <w:fldChar w:fldCharType="begin"/>
          </w:r>
          <w:r>
            <w:instrText xml:space="preserve"> PAGEREF _Toc19281 \h </w:instrText>
          </w:r>
          <w:r>
            <w:fldChar w:fldCharType="separate"/>
          </w:r>
          <w:r>
            <w:t>40</w:t>
          </w:r>
          <w:r>
            <w:fldChar w:fldCharType="end"/>
          </w:r>
          <w:r>
            <w:rPr>
              <w:rFonts w:hint="eastAsia" w:asciiTheme="minorEastAsia" w:hAnsiTheme="minorEastAsia" w:eastAsiaTheme="minorEastAsia" w:cstheme="minorEastAsia"/>
              <w:bCs/>
              <w:szCs w:val="32"/>
            </w:rPr>
            <w:fldChar w:fldCharType="end"/>
          </w:r>
        </w:p>
        <w:p w14:paraId="3654A172">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_Toc29702 </w:instrText>
          </w:r>
          <w:r>
            <w:rPr>
              <w:rFonts w:hint="eastAsia" w:asciiTheme="minorEastAsia" w:hAnsiTheme="minorEastAsia" w:eastAsiaTheme="minorEastAsia" w:cstheme="minorEastAsia"/>
              <w:bCs/>
              <w:szCs w:val="32"/>
            </w:rPr>
            <w:fldChar w:fldCharType="separate"/>
          </w:r>
          <w:r>
            <w:rPr>
              <w:rFonts w:hint="eastAsia" w:cs="宋体"/>
              <w:bCs/>
              <w:szCs w:val="32"/>
              <w:lang w:val="en-US" w:eastAsia="zh-CN"/>
            </w:rPr>
            <w:t>6</w:t>
          </w:r>
          <w:r>
            <w:rPr>
              <w:rFonts w:hint="eastAsia" w:ascii="宋体" w:hAnsi="宋体" w:eastAsia="宋体" w:cs="宋体"/>
              <w:bCs/>
              <w:szCs w:val="32"/>
              <w:lang w:val="en-US" w:eastAsia="zh-CN"/>
            </w:rPr>
            <w:t xml:space="preserve"> 应急保障</w:t>
          </w:r>
          <w:r>
            <w:tab/>
          </w:r>
          <w:r>
            <w:fldChar w:fldCharType="begin"/>
          </w:r>
          <w:r>
            <w:instrText xml:space="preserve"> PAGEREF _Toc29702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1B3EF0F1">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_Toc3718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.1 队伍保障</w:t>
          </w:r>
          <w:r>
            <w:tab/>
          </w:r>
          <w:r>
            <w:fldChar w:fldCharType="begin"/>
          </w:r>
          <w:r>
            <w:instrText xml:space="preserve"> PAGEREF _Toc3718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3C3557C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_Toc13657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.2 物资、装备与资金保障</w:t>
          </w:r>
          <w:r>
            <w:tab/>
          </w:r>
          <w:r>
            <w:fldChar w:fldCharType="begin"/>
          </w:r>
          <w:r>
            <w:instrText xml:space="preserve"> PAGEREF _Toc13657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04FAF40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_Toc347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.3 通信、交通与运输保障</w:t>
          </w:r>
          <w:r>
            <w:tab/>
          </w:r>
          <w:r>
            <w:fldChar w:fldCharType="begin"/>
          </w:r>
          <w:r>
            <w:instrText xml:space="preserve"> PAGEREF _Toc347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378AD939">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_Toc12696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.4 技术保障</w:t>
          </w:r>
          <w:r>
            <w:tab/>
          </w:r>
          <w:r>
            <w:fldChar w:fldCharType="begin"/>
          </w:r>
          <w:r>
            <w:instrText xml:space="preserve"> PAGEREF _Toc12696 \h </w:instrText>
          </w:r>
          <w:r>
            <w:fldChar w:fldCharType="separate"/>
          </w:r>
          <w:r>
            <w:t>43</w:t>
          </w:r>
          <w:r>
            <w:fldChar w:fldCharType="end"/>
          </w:r>
          <w:r>
            <w:rPr>
              <w:rFonts w:hint="eastAsia" w:asciiTheme="minorEastAsia" w:hAnsiTheme="minorEastAsia" w:eastAsiaTheme="minorEastAsia" w:cstheme="minorEastAsia"/>
              <w:bCs/>
              <w:szCs w:val="32"/>
            </w:rPr>
            <w:fldChar w:fldCharType="end"/>
          </w:r>
        </w:p>
        <w:p w14:paraId="4923B7F6">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_Toc8967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 xml:space="preserve"> 监督管理</w:t>
          </w:r>
          <w:r>
            <w:tab/>
          </w:r>
          <w:r>
            <w:fldChar w:fldCharType="begin"/>
          </w:r>
          <w:r>
            <w:instrText xml:space="preserve"> PAGEREF _Toc8967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4A01BB2D">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_Toc19317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.1 应急预案演练</w:t>
          </w:r>
          <w:r>
            <w:tab/>
          </w:r>
          <w:r>
            <w:fldChar w:fldCharType="begin"/>
          </w:r>
          <w:r>
            <w:instrText xml:space="preserve"> PAGEREF _Toc19317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1D6CD9CF">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_Toc4714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.2 宣传</w:t>
          </w:r>
          <w:r>
            <w:tab/>
          </w:r>
          <w:r>
            <w:fldChar w:fldCharType="begin"/>
          </w:r>
          <w:r>
            <w:instrText xml:space="preserve"> PAGEREF _Toc4714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0E200B2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_Toc6526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.3 培训</w:t>
          </w:r>
          <w:r>
            <w:tab/>
          </w:r>
          <w:r>
            <w:fldChar w:fldCharType="begin"/>
          </w:r>
          <w:r>
            <w:instrText xml:space="preserve"> PAGEREF _Toc6526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0243EF81">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_Toc23132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.4 预案管理</w:t>
          </w:r>
          <w:r>
            <w:tab/>
          </w:r>
          <w:r>
            <w:fldChar w:fldCharType="begin"/>
          </w:r>
          <w:r>
            <w:instrText xml:space="preserve"> PAGEREF _Toc23132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10719719">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_Toc6050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8</w:t>
          </w:r>
          <w:r>
            <w:rPr>
              <w:rFonts w:hint="eastAsia" w:ascii="宋体" w:hAnsi="宋体" w:eastAsia="宋体" w:cs="宋体"/>
              <w:bCs/>
              <w:kern w:val="2"/>
              <w:szCs w:val="32"/>
              <w:lang w:val="en-US" w:eastAsia="zh-CN" w:bidi="ar-SA"/>
            </w:rPr>
            <w:t xml:space="preserve"> 附件</w:t>
          </w:r>
          <w:r>
            <w:tab/>
          </w:r>
          <w:r>
            <w:fldChar w:fldCharType="begin"/>
          </w:r>
          <w:r>
            <w:instrText xml:space="preserve"> PAGEREF _Toc6050 \h </w:instrText>
          </w:r>
          <w:r>
            <w:fldChar w:fldCharType="separate"/>
          </w:r>
          <w:r>
            <w:t>46</w:t>
          </w:r>
          <w:r>
            <w:fldChar w:fldCharType="end"/>
          </w:r>
          <w:r>
            <w:rPr>
              <w:rFonts w:hint="eastAsia" w:asciiTheme="minorEastAsia" w:hAnsiTheme="minorEastAsia" w:eastAsiaTheme="minorEastAsia" w:cstheme="minorEastAsia"/>
              <w:bCs/>
              <w:szCs w:val="32"/>
            </w:rPr>
            <w:fldChar w:fldCharType="end"/>
          </w:r>
        </w:p>
        <w:p w14:paraId="45CF907B">
          <w:pPr>
            <w:pStyle w:val="8"/>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pPr>
          <w:r>
            <w:rPr>
              <w:rFonts w:hint="eastAsia" w:asciiTheme="minorEastAsia" w:hAnsiTheme="minorEastAsia" w:eastAsiaTheme="minorEastAsia" w:cstheme="minorEastAsia"/>
              <w:bCs/>
              <w:szCs w:val="32"/>
            </w:rPr>
            <w:fldChar w:fldCharType="end"/>
          </w:r>
        </w:p>
      </w:sdtContent>
    </w:sdt>
    <w:p w14:paraId="54539CB1">
      <w:pPr>
        <w:pStyle w:val="8"/>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sectPr>
          <w:footerReference r:id="rId6" w:type="first"/>
          <w:headerReference r:id="rId3" w:type="default"/>
          <w:footerReference r:id="rId4" w:type="default"/>
          <w:footerReference r:id="rId5" w:type="even"/>
          <w:pgSz w:w="11906" w:h="16838"/>
          <w:pgMar w:top="1440" w:right="1440" w:bottom="1440" w:left="1440" w:header="1134" w:footer="992" w:gutter="0"/>
          <w:pgBorders>
            <w:top w:val="none" w:sz="0" w:space="0"/>
            <w:left w:val="none" w:sz="0" w:space="0"/>
            <w:bottom w:val="none" w:sz="0" w:space="0"/>
            <w:right w:val="none" w:sz="0" w:space="0"/>
          </w:pgBorders>
          <w:pgNumType w:fmt="decimal" w:start="1"/>
          <w:cols w:space="720" w:num="1"/>
          <w:docGrid w:type="lines" w:linePitch="318" w:charSpace="0"/>
        </w:sectPr>
      </w:pPr>
    </w:p>
    <w:p w14:paraId="231F5401">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eastAsia" w:ascii="宋体" w:hAnsi="宋体" w:eastAsia="宋体" w:cs="宋体"/>
          <w:b/>
          <w:bCs/>
          <w:color w:val="000000"/>
          <w:sz w:val="32"/>
          <w:szCs w:val="32"/>
          <w:lang w:val="en-US" w:eastAsia="zh-CN"/>
        </w:rPr>
      </w:pPr>
      <w:bookmarkStart w:id="0" w:name="_Toc4877"/>
      <w:bookmarkStart w:id="1" w:name="_Toc7210"/>
      <w:r>
        <w:rPr>
          <w:rStyle w:val="19"/>
          <w:rFonts w:hint="eastAsia" w:ascii="宋体" w:hAnsi="宋体" w:eastAsia="宋体" w:cs="宋体"/>
          <w:b/>
          <w:bCs/>
          <w:color w:val="000000"/>
          <w:sz w:val="32"/>
          <w:szCs w:val="32"/>
          <w:lang w:val="en-US" w:eastAsia="zh-CN"/>
        </w:rPr>
        <w:t>1总则</w:t>
      </w:r>
      <w:bookmarkEnd w:id="0"/>
      <w:bookmarkEnd w:id="1"/>
    </w:p>
    <w:p w14:paraId="2FDD4913">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2" w:name="_Toc288137727"/>
      <w:bookmarkStart w:id="3" w:name="_Toc1485"/>
      <w:bookmarkStart w:id="4" w:name="_Toc26600"/>
      <w:r>
        <w:rPr>
          <w:rFonts w:hint="eastAsia" w:ascii="宋体" w:hAnsi="宋体" w:eastAsia="宋体" w:cs="宋体"/>
          <w:b/>
          <w:bCs/>
          <w:color w:val="000000"/>
          <w:sz w:val="28"/>
          <w:szCs w:val="28"/>
        </w:rPr>
        <w:t>1.1</w:t>
      </w:r>
      <w:bookmarkEnd w:id="2"/>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rPr>
        <w:t>编制目的</w:t>
      </w:r>
      <w:bookmarkEnd w:id="3"/>
      <w:bookmarkEnd w:id="4"/>
    </w:p>
    <w:p w14:paraId="2638DC2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建立健全水环境污染事件应急机制，有效预防和减少突发环境事件的发生，快速、科学地进行突发环境事件的应急处置，全面提高应对开州区五通乡老林沟饮用水源地突发环境事件的能力，有效应对开州区五通乡老林沟饮用水源地（以下简称水源地）突发环境事件，最大程度降低突发环境事件对水源地水质影响，规范水源地突发环境事件应对的各项工作，特制定本预案。并为开州区生态环境局及相关部门制定应急预案提供支撑。</w:t>
      </w:r>
    </w:p>
    <w:p w14:paraId="5E46F5B8">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5" w:name="_Toc288137728"/>
      <w:bookmarkStart w:id="6" w:name="_Toc480"/>
      <w:bookmarkStart w:id="7" w:name="_Toc12629"/>
      <w:r>
        <w:rPr>
          <w:rFonts w:hint="eastAsia" w:ascii="宋体" w:hAnsi="宋体" w:eastAsia="宋体" w:cs="宋体"/>
          <w:b/>
          <w:bCs/>
          <w:color w:val="000000"/>
          <w:sz w:val="28"/>
          <w:szCs w:val="28"/>
        </w:rPr>
        <w:t>1.2</w:t>
      </w:r>
      <w:bookmarkEnd w:id="5"/>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适用范围</w:t>
      </w:r>
      <w:bookmarkEnd w:id="6"/>
      <w:bookmarkEnd w:id="7"/>
    </w:p>
    <w:p w14:paraId="0EB9974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本预案适用于开州区五通乡老林沟饮用水源地保护区内环境污染、破坏事件、输水管道、自然灾害造成的危及人体健康的环境事件及其他影响老林沟饮用水源地水质的其它严重污染事件等重污染事件。</w:t>
      </w:r>
    </w:p>
    <w:p w14:paraId="1432F8B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8" w:name="_Toc29315"/>
      <w:bookmarkStart w:id="9" w:name="_Toc16483"/>
      <w:r>
        <w:rPr>
          <w:rFonts w:hint="eastAsia" w:ascii="宋体" w:hAnsi="宋体" w:eastAsia="宋体" w:cs="宋体"/>
          <w:b/>
          <w:bCs/>
          <w:color w:val="000000"/>
          <w:sz w:val="28"/>
          <w:szCs w:val="28"/>
        </w:rPr>
        <w:t>1.3</w:t>
      </w:r>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编制依据</w:t>
      </w:r>
      <w:bookmarkEnd w:id="8"/>
      <w:bookmarkEnd w:id="9"/>
    </w:p>
    <w:p w14:paraId="13754B8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《中华人民共和国环境保护法》(主席令第9号，2015)；</w:t>
      </w:r>
    </w:p>
    <w:p w14:paraId="21A59BE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《中华人民共和国水污染防治法》(主席令第87号，2017年修订版)；</w:t>
      </w:r>
    </w:p>
    <w:p w14:paraId="72EB6B1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《中华人民共和国突发事件应对法》(主席令第25号，2024)；</w:t>
      </w:r>
    </w:p>
    <w:p w14:paraId="1C1F991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《国家突发环境事件应急预案》（国办函〔2014〕119号）；</w:t>
      </w:r>
    </w:p>
    <w:p w14:paraId="643B66D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《国务院关于加强环境保护重点工作的意见》（国发〔2011〕35号）；</w:t>
      </w:r>
    </w:p>
    <w:p w14:paraId="76C17E6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《突发事件应急预案管理办法》（国办发〔20</w:t>
      </w:r>
      <w:r>
        <w:rPr>
          <w:rFonts w:hint="eastAsia" w:cs="宋体"/>
          <w:color w:val="auto"/>
          <w:sz w:val="28"/>
          <w:szCs w:val="28"/>
          <w:lang w:val="en-US" w:eastAsia="zh-CN"/>
        </w:rPr>
        <w:t>25</w:t>
      </w: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号）；</w:t>
      </w:r>
    </w:p>
    <w:p w14:paraId="5DB3E8BC">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《企业事业单位突发环境事件应急预案备案管理办法（试行）》（环发〔2015〕4号）；</w:t>
      </w:r>
    </w:p>
    <w:p w14:paraId="7704DBC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《企业突发环境事件隐患排查和治理工作指南（试行）》（环境保护部公告2016年第74号）；</w:t>
      </w:r>
    </w:p>
    <w:p w14:paraId="79CEB024">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《突发环境事件应急监测技术规范》（HJ 589-2010）；</w:t>
      </w:r>
    </w:p>
    <w:p w14:paraId="3E79326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《突发环境事件信息报告办法》（环境保护部令第17号，2011）；</w:t>
      </w:r>
    </w:p>
    <w:p w14:paraId="301F595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《城市供水条例》（中华人民共和国国务院令第158号，1994）；</w:t>
      </w:r>
    </w:p>
    <w:p w14:paraId="108D01A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《城市供水水质管理规定》（中华人民共和国建设部令第156号，2006）；</w:t>
      </w:r>
    </w:p>
    <w:p w14:paraId="0B4360F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《生活饮用水卫生监督管理办法》（中华人民共和国城乡建设部、卫生计生委令第31号，2016）；</w:t>
      </w:r>
    </w:p>
    <w:p w14:paraId="69B30D2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《重庆市环境保护管理条例》（2018年修订）；</w:t>
      </w:r>
    </w:p>
    <w:p w14:paraId="0594B51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《重庆市长江三峡库区流域水污染防治条例》（重庆市人大常委会公告〔2011〕26号）；</w:t>
      </w:r>
    </w:p>
    <w:p w14:paraId="7085C23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《重庆市饮用水源污染防治办法》（重庆市人民政府令第159号，2003）；</w:t>
      </w:r>
    </w:p>
    <w:p w14:paraId="2116DAB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《重庆市城市供水节水管理条例》（重庆市人大常委会公告〔1999〕111号，2012年11月29日修订）；</w:t>
      </w:r>
    </w:p>
    <w:p w14:paraId="053E076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《重庆市村镇供水条例》重庆市人民代表大会常务委员会公告〔2016〕第55号</w:t>
      </w:r>
    </w:p>
    <w:p w14:paraId="52BB3D5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《重庆市突发事件应对条例》（重庆市人大常委会公告〔2012〕9号）；</w:t>
      </w:r>
    </w:p>
    <w:p w14:paraId="066790F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《重庆市人民政府突发公共事件总体应急预案》（2007）；</w:t>
      </w:r>
    </w:p>
    <w:p w14:paraId="7DEE75D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《重庆市人民政府办公厅关于调整万州区等31个区县（自治县）集中式饮用水源保护区的通知》(府办[2013]40号)；</w:t>
      </w:r>
    </w:p>
    <w:p w14:paraId="14E7412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《重庆市政府办公厅关于调整万州区等36个区县（自治县）集中式饮用水水源保护区调整方案》（渝府办[2016]19号）；</w:t>
      </w:r>
    </w:p>
    <w:p w14:paraId="5B7AAB5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《重庆市人民政府办公厅关于印发万州区等区县(开发区)集中式饮用水源地保护区划分及调整方案的通知》（渝府办[2018]7号）；</w:t>
      </w:r>
    </w:p>
    <w:p w14:paraId="4D4F3284">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《突发环境事件应急预案管理暂行办法》（2010）113号印发；</w:t>
      </w:r>
    </w:p>
    <w:p w14:paraId="3B7467B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《重庆市三峡库区流域水环境突发事件应急预案》；</w:t>
      </w:r>
      <w:bookmarkStart w:id="10" w:name="OLE_LINK10"/>
    </w:p>
    <w:p w14:paraId="62FA902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End w:id="10"/>
      <w:r>
        <w:rPr>
          <w:rFonts w:hint="eastAsia" w:ascii="宋体" w:hAnsi="宋体" w:eastAsia="宋体" w:cs="宋体"/>
          <w:color w:val="auto"/>
          <w:sz w:val="28"/>
          <w:szCs w:val="28"/>
          <w:lang w:val="en-US" w:eastAsia="zh-CN"/>
        </w:rPr>
        <w:t>开州区突发环境事件应急预案》；</w:t>
      </w:r>
    </w:p>
    <w:p w14:paraId="63D59BA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Start w:id="11" w:name="OLE_LINK40"/>
      <w:r>
        <w:rPr>
          <w:rFonts w:hint="eastAsia" w:ascii="宋体" w:hAnsi="宋体" w:eastAsia="宋体" w:cs="宋体"/>
          <w:color w:val="auto"/>
          <w:sz w:val="28"/>
          <w:szCs w:val="28"/>
          <w:lang w:val="en-US" w:eastAsia="zh-CN"/>
        </w:rPr>
        <w:t>开州区饮用水源地突发环境事件应急预案</w:t>
      </w:r>
      <w:bookmarkEnd w:id="11"/>
      <w:r>
        <w:rPr>
          <w:rFonts w:hint="eastAsia" w:ascii="宋体" w:hAnsi="宋体" w:eastAsia="宋体" w:cs="宋体"/>
          <w:color w:val="auto"/>
          <w:sz w:val="28"/>
          <w:szCs w:val="28"/>
          <w:lang w:val="en-US" w:eastAsia="zh-CN"/>
        </w:rPr>
        <w:t>》；</w:t>
      </w:r>
    </w:p>
    <w:p w14:paraId="2C2196F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《集中式饮用水水源地规范化建设环境保护技术要求》（HJ773）；</w:t>
      </w:r>
    </w:p>
    <w:p w14:paraId="3580046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《集中式饮用水水源地环境保护状况评估技术规范》（HJ774）；</w:t>
      </w:r>
    </w:p>
    <w:p w14:paraId="3FA1BA94">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《危险化学品安全管理条例》(国务院令第645号，2011年修订)；</w:t>
      </w:r>
    </w:p>
    <w:p w14:paraId="29F9EA4A">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《集中式地表水饮用水水源地突发环境事件应急预案编制指南（试行）》（公告2018年第1号）。</w:t>
      </w:r>
    </w:p>
    <w:p w14:paraId="7DA1977A">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12" w:name="_Toc5010"/>
      <w:bookmarkStart w:id="13" w:name="_Toc13899"/>
      <w:bookmarkStart w:id="14" w:name="_Toc386312991"/>
      <w:r>
        <w:rPr>
          <w:rFonts w:hint="eastAsia" w:ascii="宋体" w:hAnsi="宋体" w:eastAsia="宋体" w:cs="宋体"/>
          <w:b/>
          <w:bCs/>
          <w:color w:val="000000"/>
          <w:sz w:val="28"/>
          <w:szCs w:val="28"/>
        </w:rPr>
        <w:t>1.</w:t>
      </w:r>
      <w:r>
        <w:rPr>
          <w:rFonts w:hint="eastAsia" w:ascii="宋体" w:hAnsi="宋体" w:eastAsia="宋体" w:cs="宋体"/>
          <w:b/>
          <w:bCs/>
          <w:color w:val="000000"/>
          <w:sz w:val="28"/>
          <w:szCs w:val="28"/>
          <w:lang w:val="en-US" w:eastAsia="zh-CN"/>
        </w:rPr>
        <w:t xml:space="preserve">4 </w:t>
      </w:r>
      <w:r>
        <w:rPr>
          <w:rFonts w:hint="eastAsia" w:ascii="宋体" w:hAnsi="宋体" w:eastAsia="宋体" w:cs="宋体"/>
          <w:b/>
          <w:bCs/>
          <w:color w:val="000000"/>
          <w:sz w:val="28"/>
          <w:szCs w:val="28"/>
        </w:rPr>
        <w:t>工作原则</w:t>
      </w:r>
      <w:bookmarkEnd w:id="12"/>
      <w:bookmarkEnd w:id="13"/>
      <w:bookmarkEnd w:id="14"/>
    </w:p>
    <w:p w14:paraId="3ED188B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开州区五通乡老林沟饮用水源在建立突发性环境污染事件应急系统及其响应程序时，本着实事求是、切实可行的方针，贯彻如下原则：</w:t>
      </w:r>
    </w:p>
    <w:p w14:paraId="26830B7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（1）救人第一、环境优先；</w:t>
      </w:r>
    </w:p>
    <w:p w14:paraId="77CB152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（2）先期处置、防止危害扩大；</w:t>
      </w:r>
    </w:p>
    <w:p w14:paraId="00141CC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（3）快速响应、科学应对；</w:t>
      </w:r>
    </w:p>
    <w:p w14:paraId="4505EA9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（4）应急工作与岗位职责相结合。</w:t>
      </w:r>
    </w:p>
    <w:p w14:paraId="1F6CC92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zh-CN"/>
        </w:rPr>
      </w:pPr>
      <w:bookmarkStart w:id="15" w:name="_Toc295467917"/>
      <w:bookmarkStart w:id="16" w:name="_Toc30184"/>
      <w:bookmarkStart w:id="17" w:name="_Toc14603"/>
      <w:bookmarkStart w:id="18" w:name="_Toc294080711"/>
      <w:bookmarkStart w:id="19" w:name="_Toc23746"/>
      <w:bookmarkStart w:id="20" w:name="_Toc6758"/>
      <w:r>
        <w:rPr>
          <w:rFonts w:hint="eastAsia" w:ascii="宋体" w:hAnsi="宋体" w:eastAsia="宋体" w:cs="宋体"/>
          <w:b/>
          <w:bCs/>
          <w:color w:val="000000"/>
          <w:sz w:val="28"/>
          <w:szCs w:val="28"/>
          <w:lang w:val="zh-CN"/>
        </w:rPr>
        <w:t>1.</w:t>
      </w:r>
      <w:r>
        <w:rPr>
          <w:rFonts w:hint="eastAsia" w:ascii="宋体" w:hAnsi="宋体" w:eastAsia="宋体" w:cs="宋体"/>
          <w:b/>
          <w:bCs/>
          <w:color w:val="000000"/>
          <w:sz w:val="28"/>
          <w:szCs w:val="28"/>
          <w:lang w:val="en-US" w:eastAsia="zh-CN"/>
        </w:rPr>
        <w:t xml:space="preserve">5 </w:t>
      </w:r>
      <w:r>
        <w:rPr>
          <w:rFonts w:hint="eastAsia" w:ascii="宋体" w:hAnsi="宋体" w:eastAsia="宋体" w:cs="宋体"/>
          <w:b/>
          <w:bCs/>
          <w:color w:val="000000"/>
          <w:sz w:val="28"/>
          <w:szCs w:val="28"/>
          <w:lang w:val="zh-CN"/>
        </w:rPr>
        <w:t>应急预案体系</w:t>
      </w:r>
      <w:bookmarkEnd w:id="15"/>
      <w:bookmarkEnd w:id="16"/>
      <w:bookmarkEnd w:id="17"/>
      <w:bookmarkEnd w:id="18"/>
      <w:bookmarkEnd w:id="19"/>
      <w:bookmarkEnd w:id="20"/>
    </w:p>
    <w:p w14:paraId="107836C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本预案为开州区五通乡老林沟饮用水源突发环境事件应急预案，该预案与《开州区突发环境事件应急预案》《重庆市开州区集中式饮用水源地突发环境事件应急预案》</w:t>
      </w:r>
      <w:r>
        <w:rPr>
          <w:rFonts w:hint="eastAsia" w:cs="宋体"/>
          <w:color w:val="auto"/>
          <w:sz w:val="28"/>
          <w:szCs w:val="28"/>
          <w:lang w:val="en-US" w:eastAsia="zh-CN"/>
        </w:rPr>
        <w:t>《重庆市开州区五通乡突发环境事件应急预案》</w:t>
      </w:r>
      <w:r>
        <w:rPr>
          <w:rFonts w:hint="eastAsia" w:ascii="宋体" w:hAnsi="宋体" w:eastAsia="宋体" w:cs="宋体"/>
          <w:color w:val="auto"/>
          <w:sz w:val="28"/>
          <w:szCs w:val="28"/>
          <w:lang w:val="en-US" w:eastAsia="zh-CN"/>
        </w:rPr>
        <w:t>相衔接。</w:t>
      </w:r>
    </w:p>
    <w:p w14:paraId="1FE157FA">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应急预案体系组成结构见：图1.5-1。</w:t>
      </w:r>
    </w:p>
    <w:p w14:paraId="00DA566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0" w:firstLineChars="0"/>
        <w:jc w:val="center"/>
        <w:textAlignment w:val="auto"/>
        <w:rPr>
          <w:rFonts w:hint="default" w:hAnsi="宋体"/>
          <w:b/>
          <w:bCs/>
          <w:sz w:val="24"/>
          <w:szCs w:val="24"/>
        </w:rPr>
      </w:pPr>
      <w:r>
        <w:rPr>
          <w:rFonts w:hint="eastAsia" w:hAnsi="宋体"/>
          <w:b/>
          <w:bCs/>
          <w:sz w:val="24"/>
          <w:szCs w:val="24"/>
          <w:lang w:val="en-US"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86360</wp:posOffset>
            </wp:positionV>
            <wp:extent cx="5696585" cy="2886710"/>
            <wp:effectExtent l="0" t="0" r="18415" b="8890"/>
            <wp:wrapTopAndBottom/>
            <wp:docPr id="1" name="F360BE8B-6686-4F3D-AEAF-501FE73E4058-1" descr="C:/Users/张龙坤/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张龙坤/AppData/Local/Temp/绘图1.png绘图1"/>
                    <pic:cNvPicPr>
                      <a:picLocks noChangeAspect="1"/>
                    </pic:cNvPicPr>
                  </pic:nvPicPr>
                  <pic:blipFill>
                    <a:blip r:embed="rId10"/>
                    <a:stretch>
                      <a:fillRect/>
                    </a:stretch>
                  </pic:blipFill>
                  <pic:spPr>
                    <a:xfrm>
                      <a:off x="0" y="0"/>
                      <a:ext cx="5696712" cy="2886456"/>
                    </a:xfrm>
                    <a:prstGeom prst="rect">
                      <a:avLst/>
                    </a:prstGeom>
                  </pic:spPr>
                </pic:pic>
              </a:graphicData>
            </a:graphic>
          </wp:anchor>
        </w:drawing>
      </w:r>
      <w:r>
        <w:rPr>
          <w:rFonts w:hint="eastAsia" w:hAnsi="宋体"/>
          <w:b/>
          <w:bCs/>
          <w:sz w:val="24"/>
          <w:szCs w:val="24"/>
          <w:lang w:val="en-US" w:eastAsia="zh-CN"/>
        </w:rPr>
        <w:t xml:space="preserve">图1.5-1 </w:t>
      </w:r>
      <w:r>
        <w:rPr>
          <w:rFonts w:hint="default" w:hAnsi="宋体"/>
          <w:b/>
          <w:bCs/>
          <w:sz w:val="24"/>
          <w:szCs w:val="24"/>
        </w:rPr>
        <w:t>预案体系结构图</w:t>
      </w:r>
    </w:p>
    <w:p w14:paraId="5156264F">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1" w:name="_Toc18947"/>
      <w:r>
        <w:rPr>
          <w:rFonts w:hint="eastAsia" w:ascii="宋体" w:hAnsi="宋体" w:eastAsia="宋体" w:cs="宋体"/>
          <w:b/>
          <w:bCs/>
          <w:color w:val="000000"/>
          <w:sz w:val="28"/>
          <w:szCs w:val="28"/>
          <w:lang w:val="en-US" w:eastAsia="zh-CN"/>
        </w:rPr>
        <w:t>1.6 事件分级</w:t>
      </w:r>
      <w:bookmarkEnd w:id="21"/>
    </w:p>
    <w:p w14:paraId="15251C8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照突发环境事件的严重性和紧急程度，突发环境事件分为特别重大环境事件（Ⅰ级）、重大环境事件（Ⅱ级）、较大环境事件（Ⅲ级）和一般环境事件（Ⅳ级）四级。预警分级颜色依次为红色、橙色、黄色和蓝色。</w:t>
      </w:r>
    </w:p>
    <w:p w14:paraId="2DCA2EB4">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1.特别重大（Ⅰ级）突发环境事件。</w:t>
      </w:r>
    </w:p>
    <w:p w14:paraId="2416889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凡符合下列情形之一的，为特别重大突发环境事件：</w:t>
      </w:r>
    </w:p>
    <w:p w14:paraId="5D505F6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（1）因突发环境事件，造成主要水源地供水中断，影响居民生活，经济损失1000万元以上。</w:t>
      </w:r>
    </w:p>
    <w:p w14:paraId="597AC71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（2）因突发环境事件造成饮用水源严重污染，导致100人以上中毒。</w:t>
      </w:r>
    </w:p>
    <w:p w14:paraId="1A0E24F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（3）发生大面积水华（藻类数量达到108个/升，区段河长≥10 公里）并造成严重的饮用水源污染的。</w:t>
      </w:r>
    </w:p>
    <w:p w14:paraId="688C2B3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2.重大（Ⅱ级）突发环境事件。</w:t>
      </w:r>
    </w:p>
    <w:p w14:paraId="7D0442B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凡符合下列情形之一的，为重大突发环境事件：</w:t>
      </w:r>
    </w:p>
    <w:p w14:paraId="6B8A522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（1）因突发环境事件，部分水厂供水中断，大面积供水受到影响,经济损失500万元以上、1000万元以下。</w:t>
      </w:r>
    </w:p>
    <w:p w14:paraId="4093D40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（2）因突发环境事件造成饮用水源严重污染，导致50人以上、100人以下中毒。</w:t>
      </w:r>
    </w:p>
    <w:p w14:paraId="21CE71E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（3）因环境污染造成涪江大面积污染，导致</w:t>
      </w:r>
      <w:bookmarkStart w:id="22" w:name="OLE_LINK11"/>
      <w:r>
        <w:rPr>
          <w:rFonts w:hint="eastAsia" w:ascii="宋体" w:hAnsi="宋体" w:eastAsia="宋体" w:cs="宋体"/>
          <w:color w:val="auto"/>
          <w:sz w:val="28"/>
          <w:szCs w:val="28"/>
          <w:lang w:val="en-US" w:eastAsia="zh-CN"/>
        </w:rPr>
        <w:t>合川城区集中式饮用水源</w:t>
      </w:r>
      <w:bookmarkEnd w:id="22"/>
      <w:r>
        <w:rPr>
          <w:rFonts w:hint="eastAsia" w:ascii="宋体" w:hAnsi="宋体" w:eastAsia="宋体" w:cs="宋体"/>
          <w:color w:val="auto"/>
          <w:sz w:val="28"/>
          <w:szCs w:val="28"/>
          <w:lang w:val="en-US" w:eastAsia="zh-CN"/>
        </w:rPr>
        <w:t>地取水中断的。</w:t>
      </w:r>
    </w:p>
    <w:p w14:paraId="406BC1C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（4）发生大面积水华（藻类数量达到108个/升，区段河长≥6公里）并造成较为严重的饮用水源污染的。</w:t>
      </w:r>
    </w:p>
    <w:p w14:paraId="6894C1E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3.较大（Ⅲ级）突发环境事件。</w:t>
      </w:r>
    </w:p>
    <w:p w14:paraId="230F034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凡符合下列情形之一的，为较大突发环境事件：</w:t>
      </w:r>
    </w:p>
    <w:p w14:paraId="5272270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（1）因突发环境事件，造成暂时性停水，影响部分居民生活，经济损失10万元以上、500万元以下。</w:t>
      </w:r>
    </w:p>
    <w:p w14:paraId="0CDF211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（2）因突发环境事件造成饮用水源严重污染，导致10人以上、50人以下中毒。</w:t>
      </w:r>
    </w:p>
    <w:p w14:paraId="7D28D06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（3）因环境污染造成乡镇饮用水源地取水中断的。</w:t>
      </w:r>
    </w:p>
    <w:p w14:paraId="4CD25C5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（4）发生大面积水华（藻类数量达到108个/升，区段河长≥3公里）并造成饮用水源污染的。</w:t>
      </w:r>
    </w:p>
    <w:p w14:paraId="76D131C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4.一般（Ⅳ级）突发环境事件。</w:t>
      </w:r>
    </w:p>
    <w:p w14:paraId="342426B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（1）因饮用水源污染造成直接经济损失10万元以下的； </w:t>
      </w:r>
    </w:p>
    <w:p w14:paraId="55AC741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（2）因饮用水源污染直接导致10人以下中毒的；</w:t>
      </w:r>
    </w:p>
    <w:p w14:paraId="1BCF72FC">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w:t>
      </w:r>
      <w:bookmarkStart w:id="23" w:name="OLE_LINK12"/>
      <w:r>
        <w:rPr>
          <w:rFonts w:hint="eastAsia" w:ascii="宋体" w:hAnsi="宋体" w:eastAsia="宋体" w:cs="宋体"/>
          <w:color w:val="auto"/>
          <w:sz w:val="28"/>
          <w:szCs w:val="28"/>
          <w:lang w:val="en-US" w:eastAsia="zh-CN"/>
        </w:rPr>
        <w:t>村、社集中式饮用水源地</w:t>
      </w:r>
      <w:bookmarkEnd w:id="23"/>
      <w:r>
        <w:rPr>
          <w:rFonts w:hint="eastAsia" w:ascii="宋体" w:hAnsi="宋体" w:eastAsia="宋体" w:cs="宋体"/>
          <w:color w:val="auto"/>
          <w:sz w:val="28"/>
          <w:szCs w:val="28"/>
          <w:lang w:val="en-US" w:eastAsia="zh-CN"/>
        </w:rPr>
        <w:t>取水中断的；</w:t>
      </w:r>
    </w:p>
    <w:p w14:paraId="2938D35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sectPr>
          <w:pgSz w:w="11906" w:h="16838"/>
          <w:pgMar w:top="1440" w:right="1800" w:bottom="1440" w:left="1800" w:header="851" w:footer="992" w:gutter="0"/>
          <w:pgNumType w:start="1"/>
          <w:cols w:space="720" w:num="1"/>
          <w:rtlGutter w:val="0"/>
          <w:docGrid w:type="lines" w:linePitch="312" w:charSpace="0"/>
        </w:sectPr>
      </w:pPr>
      <w:r>
        <w:rPr>
          <w:rFonts w:hint="eastAsia" w:ascii="宋体" w:hAnsi="宋体" w:eastAsia="宋体" w:cs="宋体"/>
          <w:color w:val="auto"/>
          <w:sz w:val="28"/>
          <w:szCs w:val="28"/>
          <w:lang w:val="en-US" w:eastAsia="zh-CN"/>
        </w:rPr>
        <w:t>（4）发生大面积水华（藻类数量达到 108个/升，区段河长＜3公里）并造成饮用水源污染的。</w:t>
      </w:r>
    </w:p>
    <w:p w14:paraId="4538A89E">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default" w:ascii="宋体" w:hAnsi="宋体" w:eastAsia="宋体" w:cs="宋体"/>
          <w:b/>
          <w:bCs/>
          <w:color w:val="000000"/>
          <w:sz w:val="32"/>
          <w:szCs w:val="32"/>
          <w:lang w:val="en-US" w:eastAsia="zh-CN"/>
        </w:rPr>
      </w:pPr>
      <w:bookmarkStart w:id="24" w:name="_Toc14245"/>
      <w:bookmarkStart w:id="25" w:name="_Toc27083"/>
      <w:r>
        <w:rPr>
          <w:rStyle w:val="19"/>
          <w:rFonts w:hint="eastAsia" w:ascii="宋体" w:hAnsi="宋体" w:eastAsia="宋体" w:cs="宋体"/>
          <w:b/>
          <w:bCs/>
          <w:color w:val="000000"/>
          <w:sz w:val="32"/>
          <w:szCs w:val="32"/>
          <w:lang w:val="en-US" w:eastAsia="zh-CN"/>
        </w:rPr>
        <w:t>2</w:t>
      </w:r>
      <w:r>
        <w:rPr>
          <w:rStyle w:val="19"/>
          <w:rFonts w:hint="eastAsia" w:ascii="宋体" w:hAnsi="宋体" w:cs="宋体"/>
          <w:b/>
          <w:bCs/>
          <w:color w:val="000000"/>
          <w:sz w:val="32"/>
          <w:szCs w:val="32"/>
          <w:lang w:val="en-US" w:eastAsia="zh-CN"/>
        </w:rPr>
        <w:t xml:space="preserve"> </w:t>
      </w:r>
      <w:r>
        <w:rPr>
          <w:rStyle w:val="19"/>
          <w:rFonts w:hint="eastAsia" w:ascii="宋体" w:hAnsi="宋体" w:eastAsia="宋体" w:cs="宋体"/>
          <w:b/>
          <w:bCs/>
          <w:color w:val="000000"/>
          <w:sz w:val="32"/>
          <w:szCs w:val="32"/>
          <w:lang w:val="en-US" w:eastAsia="zh-CN"/>
        </w:rPr>
        <w:t>开州区五通乡老林沟饮用水水源地基础信息</w:t>
      </w:r>
      <w:bookmarkEnd w:id="24"/>
      <w:bookmarkEnd w:id="25"/>
    </w:p>
    <w:p w14:paraId="3D9D62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6" w:name="_Toc32095"/>
      <w:bookmarkStart w:id="27" w:name="_Toc11400"/>
      <w:bookmarkStart w:id="28" w:name="_Toc24334"/>
      <w:r>
        <w:rPr>
          <w:rFonts w:hint="eastAsia" w:ascii="宋体" w:hAnsi="宋体" w:eastAsia="宋体" w:cs="宋体"/>
          <w:b/>
          <w:bCs/>
          <w:color w:val="000000"/>
          <w:sz w:val="28"/>
          <w:szCs w:val="28"/>
          <w:lang w:val="en-US" w:eastAsia="zh-CN"/>
        </w:rPr>
        <w:t>2.1 开州区五通乡老林沟水源地基础信息</w:t>
      </w:r>
      <w:bookmarkEnd w:id="26"/>
      <w:bookmarkEnd w:id="27"/>
      <w:bookmarkEnd w:id="28"/>
    </w:p>
    <w:p w14:paraId="75BD6863">
      <w:pPr>
        <w:pStyle w:val="22"/>
        <w:spacing w:line="520" w:lineRule="exact"/>
        <w:ind w:firstLine="0" w:firstLineChars="0"/>
        <w:jc w:val="center"/>
        <w:rPr>
          <w:rFonts w:hint="default" w:ascii="宋体" w:hAnsi="宋体"/>
          <w:b/>
          <w:bCs/>
          <w:sz w:val="22"/>
          <w:szCs w:val="22"/>
        </w:rPr>
      </w:pPr>
      <w:r>
        <w:rPr>
          <w:rFonts w:hint="eastAsia" w:ascii="宋体" w:hAnsi="宋体"/>
          <w:b/>
          <w:bCs/>
          <w:sz w:val="22"/>
          <w:szCs w:val="22"/>
        </w:rPr>
        <w:t>表</w:t>
      </w:r>
      <w:r>
        <w:rPr>
          <w:rFonts w:hint="eastAsia" w:ascii="宋体" w:hAnsi="宋体"/>
          <w:b/>
          <w:bCs/>
          <w:sz w:val="22"/>
          <w:szCs w:val="22"/>
          <w:lang w:val="en-US" w:eastAsia="zh-CN"/>
        </w:rPr>
        <w:t xml:space="preserve">2.1-1 </w:t>
      </w:r>
      <w:r>
        <w:rPr>
          <w:rFonts w:hint="eastAsia" w:ascii="宋体" w:hAnsi="宋体"/>
          <w:b/>
          <w:bCs/>
          <w:sz w:val="22"/>
          <w:szCs w:val="22"/>
        </w:rPr>
        <w:t xml:space="preserve"> 开州区</w:t>
      </w:r>
      <w:r>
        <w:rPr>
          <w:rFonts w:hint="eastAsia" w:ascii="宋体" w:hAnsi="宋体"/>
          <w:b/>
          <w:bCs/>
          <w:sz w:val="22"/>
          <w:szCs w:val="22"/>
          <w:lang w:eastAsia="zh-CN"/>
        </w:rPr>
        <w:t>五通乡</w:t>
      </w:r>
      <w:r>
        <w:rPr>
          <w:rFonts w:hint="eastAsia" w:ascii="宋体" w:hAnsi="宋体"/>
          <w:b/>
          <w:bCs/>
          <w:sz w:val="22"/>
          <w:szCs w:val="22"/>
          <w:lang w:val="en-US" w:eastAsia="zh-CN"/>
        </w:rPr>
        <w:t>老林沟</w:t>
      </w:r>
      <w:r>
        <w:rPr>
          <w:rFonts w:hint="eastAsia" w:ascii="宋体" w:hAnsi="宋体"/>
          <w:b/>
          <w:bCs/>
          <w:sz w:val="22"/>
          <w:szCs w:val="22"/>
        </w:rPr>
        <w:t>饮用水水源地基本情况</w:t>
      </w:r>
    </w:p>
    <w:tbl>
      <w:tblPr>
        <w:tblStyle w:val="17"/>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5793"/>
      </w:tblGrid>
      <w:tr w14:paraId="6BD1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711" w:type="dxa"/>
            <w:noWrap w:val="0"/>
            <w:vAlign w:val="center"/>
          </w:tcPr>
          <w:p w14:paraId="0605F680">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水源地名称</w:t>
            </w:r>
          </w:p>
        </w:tc>
        <w:tc>
          <w:tcPr>
            <w:tcW w:w="5793" w:type="dxa"/>
            <w:noWrap w:val="0"/>
            <w:vAlign w:val="center"/>
          </w:tcPr>
          <w:p w14:paraId="304BB21D">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老林沟饮用水源地</w:t>
            </w:r>
          </w:p>
        </w:tc>
      </w:tr>
      <w:tr w14:paraId="6307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406C4C17">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地理位置范围</w:t>
            </w:r>
          </w:p>
        </w:tc>
        <w:tc>
          <w:tcPr>
            <w:tcW w:w="5793" w:type="dxa"/>
            <w:noWrap w:val="0"/>
            <w:vAlign w:val="center"/>
          </w:tcPr>
          <w:p w14:paraId="25DEB7A4">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五通乡石笋子老林沟</w:t>
            </w:r>
          </w:p>
        </w:tc>
      </w:tr>
      <w:tr w14:paraId="38D9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72CE70D9">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取水点中心经纬度</w:t>
            </w:r>
          </w:p>
        </w:tc>
        <w:tc>
          <w:tcPr>
            <w:tcW w:w="5793" w:type="dxa"/>
            <w:noWrap w:val="0"/>
            <w:vAlign w:val="center"/>
          </w:tcPr>
          <w:p w14:paraId="2AD775DC">
            <w:pPr>
              <w:pStyle w:val="23"/>
              <w:spacing w:line="300" w:lineRule="exact"/>
              <w:jc w:val="center"/>
              <w:rPr>
                <w:rFonts w:hint="default" w:ascii="宋体" w:hAnsi="宋体"/>
                <w:spacing w:val="0"/>
                <w:sz w:val="21"/>
                <w:szCs w:val="21"/>
                <w:lang w:val="en-US" w:eastAsia="zh-CN"/>
              </w:rPr>
            </w:pPr>
            <w:r>
              <w:rPr>
                <w:rFonts w:hint="eastAsia" w:ascii="宋体" w:hAnsi="宋体"/>
                <w:spacing w:val="0"/>
                <w:sz w:val="21"/>
                <w:szCs w:val="21"/>
                <w:lang w:val="en-US" w:eastAsia="zh-CN"/>
              </w:rPr>
              <w:t>北纬30.9047 东经108.0241</w:t>
            </w:r>
          </w:p>
        </w:tc>
      </w:tr>
      <w:tr w14:paraId="3474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1BB7B311">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保护区面积</w:t>
            </w:r>
          </w:p>
        </w:tc>
        <w:tc>
          <w:tcPr>
            <w:tcW w:w="5793" w:type="dxa"/>
            <w:noWrap w:val="0"/>
            <w:vAlign w:val="center"/>
          </w:tcPr>
          <w:p w14:paraId="57D4666D">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一级保护区：上游1公里，下游100米，两岸纵深50米；</w:t>
            </w:r>
          </w:p>
          <w:p w14:paraId="218EA23A">
            <w:pPr>
              <w:pStyle w:val="23"/>
              <w:spacing w:line="300" w:lineRule="exact"/>
              <w:jc w:val="center"/>
              <w:rPr>
                <w:rFonts w:hint="default" w:ascii="宋体" w:hAnsi="宋体"/>
                <w:spacing w:val="0"/>
                <w:sz w:val="21"/>
                <w:szCs w:val="21"/>
                <w:lang w:val="en-US" w:eastAsia="zh-CN"/>
              </w:rPr>
            </w:pPr>
            <w:r>
              <w:rPr>
                <w:rFonts w:hint="eastAsia" w:ascii="宋体" w:hAnsi="宋体"/>
                <w:spacing w:val="0"/>
                <w:sz w:val="21"/>
                <w:szCs w:val="21"/>
                <w:lang w:val="en-US" w:eastAsia="zh-CN"/>
              </w:rPr>
              <w:t>二级保护区：一级保护区边界上游2公里，边界下游200米，两岸纵深流域范围内</w:t>
            </w:r>
          </w:p>
        </w:tc>
      </w:tr>
      <w:tr w14:paraId="3FAF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1264420D">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水质保护目标</w:t>
            </w:r>
          </w:p>
        </w:tc>
        <w:tc>
          <w:tcPr>
            <w:tcW w:w="5793" w:type="dxa"/>
            <w:noWrap w:val="0"/>
            <w:vAlign w:val="center"/>
          </w:tcPr>
          <w:p w14:paraId="1BF1CC75">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Ⅲ类</w:t>
            </w:r>
          </w:p>
        </w:tc>
      </w:tr>
      <w:tr w14:paraId="2217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56F2D4F6">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类型</w:t>
            </w:r>
          </w:p>
        </w:tc>
        <w:tc>
          <w:tcPr>
            <w:tcW w:w="5793" w:type="dxa"/>
            <w:noWrap w:val="0"/>
            <w:vAlign w:val="center"/>
          </w:tcPr>
          <w:p w14:paraId="4F0784C4">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地表水</w:t>
            </w:r>
          </w:p>
        </w:tc>
      </w:tr>
      <w:tr w14:paraId="4A5E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7A1F549F">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设计供水规模</w:t>
            </w:r>
          </w:p>
        </w:tc>
        <w:tc>
          <w:tcPr>
            <w:tcW w:w="5793" w:type="dxa"/>
            <w:noWrap w:val="0"/>
            <w:vAlign w:val="center"/>
          </w:tcPr>
          <w:p w14:paraId="6EC480C9">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500立方米/天</w:t>
            </w:r>
          </w:p>
        </w:tc>
      </w:tr>
      <w:tr w14:paraId="4DD1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3D4BF08F">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实际高峰供水规模</w:t>
            </w:r>
          </w:p>
        </w:tc>
        <w:tc>
          <w:tcPr>
            <w:tcW w:w="5793" w:type="dxa"/>
            <w:noWrap w:val="0"/>
            <w:vAlign w:val="center"/>
          </w:tcPr>
          <w:p w14:paraId="5DF73DDF">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300立方米/天</w:t>
            </w:r>
          </w:p>
        </w:tc>
      </w:tr>
      <w:tr w14:paraId="08E7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5F34DABE">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取水管道材质</w:t>
            </w:r>
          </w:p>
        </w:tc>
        <w:tc>
          <w:tcPr>
            <w:tcW w:w="5793" w:type="dxa"/>
            <w:noWrap w:val="0"/>
            <w:vAlign w:val="center"/>
          </w:tcPr>
          <w:p w14:paraId="4597E0AC">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1条粗PE管道</w:t>
            </w:r>
          </w:p>
        </w:tc>
      </w:tr>
      <w:tr w14:paraId="5D31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4212C167">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直径</w:t>
            </w:r>
          </w:p>
        </w:tc>
        <w:tc>
          <w:tcPr>
            <w:tcW w:w="5793" w:type="dxa"/>
            <w:noWrap w:val="0"/>
            <w:vAlign w:val="center"/>
          </w:tcPr>
          <w:p w14:paraId="600D04BE">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80毫米</w:t>
            </w:r>
          </w:p>
        </w:tc>
      </w:tr>
      <w:tr w14:paraId="1FFB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2717469F">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长度</w:t>
            </w:r>
          </w:p>
        </w:tc>
        <w:tc>
          <w:tcPr>
            <w:tcW w:w="5793" w:type="dxa"/>
            <w:noWrap w:val="0"/>
            <w:vAlign w:val="center"/>
          </w:tcPr>
          <w:p w14:paraId="331BDC98">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7千米</w:t>
            </w:r>
          </w:p>
        </w:tc>
      </w:tr>
      <w:tr w14:paraId="358A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6D2C16E4">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取水管道至水厂铺设路径</w:t>
            </w:r>
          </w:p>
        </w:tc>
        <w:tc>
          <w:tcPr>
            <w:tcW w:w="5793" w:type="dxa"/>
            <w:noWrap w:val="0"/>
            <w:vAlign w:val="center"/>
          </w:tcPr>
          <w:p w14:paraId="2C169C15">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沿山体及公路沿线铺设</w:t>
            </w:r>
          </w:p>
        </w:tc>
      </w:tr>
      <w:tr w14:paraId="02D3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48BC356A">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水厂名称</w:t>
            </w:r>
          </w:p>
        </w:tc>
        <w:tc>
          <w:tcPr>
            <w:tcW w:w="5793" w:type="dxa"/>
            <w:noWrap w:val="0"/>
            <w:vAlign w:val="center"/>
          </w:tcPr>
          <w:p w14:paraId="06CCA97B">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重庆开州清泉水务建设有限公司五通水厂</w:t>
            </w:r>
          </w:p>
        </w:tc>
      </w:tr>
      <w:tr w14:paraId="54C8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72FB40D2">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水厂位置</w:t>
            </w:r>
          </w:p>
        </w:tc>
        <w:tc>
          <w:tcPr>
            <w:tcW w:w="5793" w:type="dxa"/>
            <w:noWrap w:val="0"/>
            <w:vAlign w:val="center"/>
          </w:tcPr>
          <w:p w14:paraId="133EED2A">
            <w:pPr>
              <w:pStyle w:val="23"/>
              <w:spacing w:line="300" w:lineRule="exact"/>
              <w:jc w:val="center"/>
              <w:rPr>
                <w:rFonts w:hint="default" w:ascii="宋体" w:hAnsi="宋体"/>
                <w:spacing w:val="0"/>
                <w:sz w:val="21"/>
                <w:szCs w:val="21"/>
                <w:lang w:val="en-US" w:eastAsia="zh-CN"/>
              </w:rPr>
            </w:pPr>
            <w:r>
              <w:rPr>
                <w:rFonts w:hint="eastAsia" w:ascii="宋体" w:hAnsi="宋体"/>
                <w:spacing w:val="0"/>
                <w:sz w:val="21"/>
                <w:szCs w:val="21"/>
                <w:lang w:val="en-US" w:eastAsia="zh-CN"/>
              </w:rPr>
              <w:t>开州五通乡兴五社区</w:t>
            </w:r>
          </w:p>
        </w:tc>
      </w:tr>
      <w:tr w14:paraId="01A8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243C93D9">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水厂中心经纬度</w:t>
            </w:r>
          </w:p>
        </w:tc>
        <w:tc>
          <w:tcPr>
            <w:tcW w:w="5793" w:type="dxa"/>
            <w:noWrap w:val="0"/>
            <w:vAlign w:val="center"/>
          </w:tcPr>
          <w:p w14:paraId="08AEEDEA">
            <w:pPr>
              <w:pStyle w:val="23"/>
              <w:spacing w:line="300" w:lineRule="exact"/>
              <w:jc w:val="center"/>
              <w:rPr>
                <w:rFonts w:hint="default" w:ascii="宋体" w:hAnsi="宋体"/>
                <w:spacing w:val="0"/>
                <w:sz w:val="21"/>
                <w:szCs w:val="21"/>
                <w:lang w:val="en-US" w:eastAsia="zh-CN"/>
              </w:rPr>
            </w:pPr>
            <w:r>
              <w:rPr>
                <w:rFonts w:hint="eastAsia" w:ascii="宋体" w:hAnsi="宋体"/>
                <w:spacing w:val="0"/>
                <w:sz w:val="21"/>
                <w:szCs w:val="21"/>
                <w:lang w:val="en-US" w:eastAsia="zh-CN"/>
              </w:rPr>
              <w:t>北纬30.8896 东经108.0538</w:t>
            </w:r>
          </w:p>
        </w:tc>
      </w:tr>
      <w:tr w14:paraId="57CD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43FB9F66">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投用时间</w:t>
            </w:r>
          </w:p>
        </w:tc>
        <w:tc>
          <w:tcPr>
            <w:tcW w:w="5793" w:type="dxa"/>
            <w:noWrap w:val="0"/>
            <w:vAlign w:val="center"/>
          </w:tcPr>
          <w:p w14:paraId="449E1A6B">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2012年</w:t>
            </w:r>
          </w:p>
        </w:tc>
      </w:tr>
      <w:tr w14:paraId="5F88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1A0E5181">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供水服务人口</w:t>
            </w:r>
          </w:p>
        </w:tc>
        <w:tc>
          <w:tcPr>
            <w:tcW w:w="5793" w:type="dxa"/>
            <w:noWrap w:val="0"/>
            <w:vAlign w:val="center"/>
          </w:tcPr>
          <w:p w14:paraId="3229D6FD">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3500人</w:t>
            </w:r>
          </w:p>
        </w:tc>
      </w:tr>
      <w:tr w14:paraId="0AE8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35140184">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供水服务范围</w:t>
            </w:r>
          </w:p>
        </w:tc>
        <w:tc>
          <w:tcPr>
            <w:tcW w:w="5793" w:type="dxa"/>
            <w:noWrap w:val="0"/>
            <w:vAlign w:val="center"/>
          </w:tcPr>
          <w:p w14:paraId="2304D7FE">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五通场镇</w:t>
            </w:r>
          </w:p>
        </w:tc>
      </w:tr>
      <w:tr w14:paraId="707B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0489CC14">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水厂取水供水工艺流程</w:t>
            </w:r>
          </w:p>
        </w:tc>
        <w:tc>
          <w:tcPr>
            <w:tcW w:w="5793" w:type="dxa"/>
            <w:noWrap w:val="0"/>
            <w:vAlign w:val="center"/>
          </w:tcPr>
          <w:p w14:paraId="45985574">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沉淀、反应、过滤、澄清消毒处理</w:t>
            </w:r>
          </w:p>
        </w:tc>
      </w:tr>
      <w:tr w14:paraId="20DB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6D7506FC">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水厂取水供水主要设施设备</w:t>
            </w:r>
          </w:p>
        </w:tc>
        <w:tc>
          <w:tcPr>
            <w:tcW w:w="5793" w:type="dxa"/>
            <w:noWrap w:val="0"/>
            <w:vAlign w:val="center"/>
          </w:tcPr>
          <w:p w14:paraId="37875FFF">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PE管网、沉淀净化系统</w:t>
            </w:r>
          </w:p>
        </w:tc>
      </w:tr>
      <w:tr w14:paraId="2259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1" w:type="dxa"/>
            <w:noWrap w:val="0"/>
            <w:vAlign w:val="center"/>
          </w:tcPr>
          <w:p w14:paraId="52B4BBB3">
            <w:pPr>
              <w:pStyle w:val="23"/>
              <w:spacing w:line="300" w:lineRule="exact"/>
              <w:rPr>
                <w:rFonts w:hint="eastAsia" w:ascii="宋体" w:hAnsi="宋体"/>
                <w:spacing w:val="0"/>
                <w:sz w:val="21"/>
                <w:szCs w:val="21"/>
                <w:lang w:val="en-US" w:eastAsia="zh-CN"/>
              </w:rPr>
            </w:pPr>
            <w:r>
              <w:rPr>
                <w:rFonts w:hint="eastAsia" w:ascii="宋体" w:hAnsi="宋体"/>
                <w:spacing w:val="0"/>
                <w:sz w:val="21"/>
                <w:szCs w:val="21"/>
                <w:lang w:val="en-US" w:eastAsia="zh-CN"/>
              </w:rPr>
              <w:t>水厂废水、固废产生种类、处置措施</w:t>
            </w:r>
          </w:p>
        </w:tc>
        <w:tc>
          <w:tcPr>
            <w:tcW w:w="5793" w:type="dxa"/>
            <w:noWrap w:val="0"/>
            <w:vAlign w:val="center"/>
          </w:tcPr>
          <w:p w14:paraId="6C34639A">
            <w:pPr>
              <w:pStyle w:val="23"/>
              <w:spacing w:line="300" w:lineRule="exact"/>
              <w:jc w:val="center"/>
              <w:rPr>
                <w:rFonts w:hint="eastAsia" w:ascii="宋体" w:hAnsi="宋体"/>
                <w:spacing w:val="0"/>
                <w:sz w:val="21"/>
                <w:szCs w:val="21"/>
                <w:lang w:val="en-US" w:eastAsia="zh-CN"/>
              </w:rPr>
            </w:pPr>
            <w:r>
              <w:rPr>
                <w:rFonts w:hint="eastAsia" w:ascii="宋体" w:hAnsi="宋体"/>
                <w:spacing w:val="0"/>
                <w:sz w:val="21"/>
                <w:szCs w:val="21"/>
                <w:lang w:val="en-US" w:eastAsia="zh-CN"/>
              </w:rPr>
              <w:t>尾水外排市政管网，固废交环卫</w:t>
            </w:r>
          </w:p>
        </w:tc>
      </w:tr>
    </w:tbl>
    <w:p w14:paraId="4E1DCE2D">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9" w:name="_Toc25116"/>
      <w:r>
        <w:rPr>
          <w:rFonts w:hint="eastAsia" w:ascii="宋体" w:hAnsi="宋体" w:eastAsia="宋体" w:cs="宋体"/>
          <w:b/>
          <w:bCs/>
          <w:color w:val="000000"/>
          <w:sz w:val="28"/>
          <w:szCs w:val="28"/>
          <w:lang w:val="en-US" w:eastAsia="zh-CN"/>
        </w:rPr>
        <w:t>2.2 饮用水源地保护区划分情况简介</w:t>
      </w:r>
      <w:bookmarkEnd w:id="29"/>
    </w:p>
    <w:p w14:paraId="79CA60E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开州区饮用水水源地已划分保护区，其中，开州区五通乡老林沟水源地所在镇（街道）为五通乡。</w:t>
      </w:r>
    </w:p>
    <w:p w14:paraId="481A9D1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其中，一级保护区水域范围为取水口上游1000米至下游100米的整个水域；陆域范围为30年一遇洪水位至正常水位范围内的陆域，陆域沿岸长度与一级保护区水域长度相同。二级保护区水域范围为取水口上游1000米至2000米，下游100米至200米的整个水域；陆域范围为30年一遇洪水位至正常水位范围内的陆域，陆域沿岸长度与二级保护区水域长度相同。其中，上、下游一、二级保护区水域、陆域均在五通乡境内。</w:t>
      </w:r>
    </w:p>
    <w:p w14:paraId="0EAD793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2018年5月根据重庆市人民政府办公厅《关于调整万州等区县（开发区）集中式引用水源地保护区划分及调整方案的通知》（渝府办[2018]7号）要求，对饮用水厂水源地进行了调整，调整后的情况见表2.2-</w:t>
      </w:r>
      <w:r>
        <w:rPr>
          <w:rFonts w:hint="eastAsia" w:cs="宋体"/>
          <w:color w:val="auto"/>
          <w:sz w:val="28"/>
          <w:szCs w:val="28"/>
          <w:lang w:val="en-US" w:eastAsia="zh-CN"/>
        </w:rPr>
        <w:t>1</w:t>
      </w:r>
      <w:r>
        <w:rPr>
          <w:rFonts w:hint="eastAsia" w:ascii="宋体" w:hAnsi="宋体" w:eastAsia="宋体" w:cs="宋体"/>
          <w:color w:val="auto"/>
          <w:sz w:val="28"/>
          <w:szCs w:val="28"/>
          <w:lang w:val="en-US" w:eastAsia="zh-CN"/>
        </w:rPr>
        <w:t>。</w:t>
      </w:r>
    </w:p>
    <w:p w14:paraId="285786C4">
      <w:pPr>
        <w:pStyle w:val="22"/>
        <w:spacing w:line="520" w:lineRule="exact"/>
        <w:ind w:firstLine="0" w:firstLineChars="0"/>
        <w:jc w:val="center"/>
        <w:rPr>
          <w:rFonts w:hint="default" w:ascii="宋体" w:hAnsi="宋体"/>
          <w:b/>
          <w:bCs/>
          <w:sz w:val="22"/>
          <w:szCs w:val="22"/>
          <w:lang w:val="en-US" w:eastAsia="zh-CN"/>
        </w:rPr>
      </w:pPr>
      <w:r>
        <w:rPr>
          <w:rFonts w:hint="eastAsia" w:ascii="宋体" w:hAnsi="宋体"/>
          <w:b/>
          <w:bCs/>
          <w:sz w:val="22"/>
          <w:szCs w:val="22"/>
          <w:lang w:val="en-US" w:eastAsia="zh-CN"/>
        </w:rPr>
        <w:t xml:space="preserve">表2.2-1 </w:t>
      </w:r>
      <w:r>
        <w:rPr>
          <w:rFonts w:hint="eastAsia" w:ascii="宋体" w:hAnsi="宋体"/>
          <w:b/>
          <w:bCs/>
          <w:sz w:val="22"/>
          <w:szCs w:val="22"/>
          <w:lang w:eastAsia="zh-CN"/>
        </w:rPr>
        <w:t>开州区五通乡老林沟饮用水源地调整情况表</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
        <w:gridCol w:w="1245"/>
        <w:gridCol w:w="576"/>
        <w:gridCol w:w="576"/>
        <w:gridCol w:w="601"/>
        <w:gridCol w:w="489"/>
        <w:gridCol w:w="687"/>
        <w:gridCol w:w="1044"/>
        <w:gridCol w:w="981"/>
        <w:gridCol w:w="924"/>
        <w:gridCol w:w="1092"/>
      </w:tblGrid>
      <w:tr w14:paraId="1ECF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dxa"/>
            <w:vMerge w:val="restart"/>
            <w:noWrap w:val="0"/>
            <w:tcMar>
              <w:top w:w="15" w:type="dxa"/>
              <w:left w:w="15" w:type="dxa"/>
              <w:bottom w:w="15" w:type="dxa"/>
              <w:right w:w="15" w:type="dxa"/>
            </w:tcMar>
            <w:vAlign w:val="center"/>
          </w:tcPr>
          <w:p w14:paraId="2B5B5D10">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330" w:type="dxa"/>
            <w:vMerge w:val="restart"/>
            <w:noWrap w:val="0"/>
            <w:tcMar>
              <w:top w:w="15" w:type="dxa"/>
              <w:left w:w="15" w:type="dxa"/>
              <w:bottom w:w="15" w:type="dxa"/>
              <w:right w:w="15" w:type="dxa"/>
            </w:tcMar>
            <w:vAlign w:val="center"/>
          </w:tcPr>
          <w:p w14:paraId="0E8F3F23">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饮用水源地名称</w:t>
            </w:r>
          </w:p>
        </w:tc>
        <w:tc>
          <w:tcPr>
            <w:tcW w:w="614" w:type="dxa"/>
            <w:vMerge w:val="restart"/>
            <w:noWrap w:val="0"/>
            <w:tcMar>
              <w:top w:w="15" w:type="dxa"/>
              <w:left w:w="15" w:type="dxa"/>
              <w:bottom w:w="15" w:type="dxa"/>
              <w:right w:w="15" w:type="dxa"/>
            </w:tcMar>
            <w:vAlign w:val="center"/>
          </w:tcPr>
          <w:p w14:paraId="6BE91176">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水源名称</w:t>
            </w:r>
          </w:p>
        </w:tc>
        <w:tc>
          <w:tcPr>
            <w:tcW w:w="614" w:type="dxa"/>
            <w:vMerge w:val="restart"/>
            <w:noWrap w:val="0"/>
            <w:tcMar>
              <w:top w:w="15" w:type="dxa"/>
              <w:left w:w="15" w:type="dxa"/>
              <w:bottom w:w="15" w:type="dxa"/>
              <w:right w:w="15" w:type="dxa"/>
            </w:tcMar>
            <w:vAlign w:val="center"/>
          </w:tcPr>
          <w:p w14:paraId="5E7CA24B">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水源类型</w:t>
            </w:r>
          </w:p>
        </w:tc>
        <w:tc>
          <w:tcPr>
            <w:tcW w:w="641" w:type="dxa"/>
            <w:vMerge w:val="restart"/>
            <w:noWrap w:val="0"/>
            <w:tcMar>
              <w:top w:w="15" w:type="dxa"/>
              <w:left w:w="15" w:type="dxa"/>
              <w:bottom w:w="15" w:type="dxa"/>
              <w:right w:w="15" w:type="dxa"/>
            </w:tcMar>
            <w:vAlign w:val="center"/>
          </w:tcPr>
          <w:p w14:paraId="31FA30D2">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水源所在镇（街道）</w:t>
            </w:r>
          </w:p>
        </w:tc>
        <w:tc>
          <w:tcPr>
            <w:tcW w:w="521" w:type="dxa"/>
            <w:vMerge w:val="restart"/>
            <w:noWrap w:val="0"/>
            <w:tcMar>
              <w:top w:w="15" w:type="dxa"/>
              <w:left w:w="15" w:type="dxa"/>
              <w:bottom w:w="15" w:type="dxa"/>
              <w:right w:w="15" w:type="dxa"/>
            </w:tcMar>
            <w:vAlign w:val="center"/>
          </w:tcPr>
          <w:p w14:paraId="5F742AEB">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使用</w:t>
            </w:r>
          </w:p>
          <w:p w14:paraId="56774DBB">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状态</w:t>
            </w:r>
          </w:p>
        </w:tc>
        <w:tc>
          <w:tcPr>
            <w:tcW w:w="733" w:type="dxa"/>
            <w:vMerge w:val="restart"/>
            <w:noWrap w:val="0"/>
            <w:tcMar>
              <w:top w:w="15" w:type="dxa"/>
              <w:left w:w="15" w:type="dxa"/>
              <w:bottom w:w="15" w:type="dxa"/>
              <w:right w:w="15" w:type="dxa"/>
            </w:tcMar>
            <w:vAlign w:val="center"/>
          </w:tcPr>
          <w:p w14:paraId="5BCE8421">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管理单位</w:t>
            </w:r>
          </w:p>
        </w:tc>
        <w:tc>
          <w:tcPr>
            <w:tcW w:w="4311" w:type="dxa"/>
            <w:gridSpan w:val="4"/>
            <w:noWrap w:val="0"/>
            <w:tcMar>
              <w:top w:w="15" w:type="dxa"/>
              <w:left w:w="15" w:type="dxa"/>
              <w:bottom w:w="15" w:type="dxa"/>
              <w:right w:w="15" w:type="dxa"/>
            </w:tcMar>
            <w:vAlign w:val="center"/>
          </w:tcPr>
          <w:p w14:paraId="28FE7FA9">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保护区划分范围</w:t>
            </w:r>
          </w:p>
        </w:tc>
      </w:tr>
      <w:tr w14:paraId="3AE1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dxa"/>
            <w:vMerge w:val="continue"/>
            <w:noWrap w:val="0"/>
            <w:tcMar>
              <w:top w:w="15" w:type="dxa"/>
              <w:left w:w="15" w:type="dxa"/>
              <w:bottom w:w="15" w:type="dxa"/>
              <w:right w:w="15" w:type="dxa"/>
            </w:tcMar>
            <w:vAlign w:val="center"/>
          </w:tcPr>
          <w:p w14:paraId="5FE6D9FB">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1330" w:type="dxa"/>
            <w:vMerge w:val="continue"/>
            <w:noWrap w:val="0"/>
            <w:tcMar>
              <w:top w:w="15" w:type="dxa"/>
              <w:left w:w="15" w:type="dxa"/>
              <w:bottom w:w="15" w:type="dxa"/>
              <w:right w:w="15" w:type="dxa"/>
            </w:tcMar>
            <w:vAlign w:val="center"/>
          </w:tcPr>
          <w:p w14:paraId="463751F4">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614" w:type="dxa"/>
            <w:vMerge w:val="continue"/>
            <w:noWrap w:val="0"/>
            <w:tcMar>
              <w:top w:w="15" w:type="dxa"/>
              <w:left w:w="15" w:type="dxa"/>
              <w:bottom w:w="15" w:type="dxa"/>
              <w:right w:w="15" w:type="dxa"/>
            </w:tcMar>
            <w:vAlign w:val="center"/>
          </w:tcPr>
          <w:p w14:paraId="02C0DA85">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614" w:type="dxa"/>
            <w:vMerge w:val="continue"/>
            <w:noWrap w:val="0"/>
            <w:tcMar>
              <w:top w:w="15" w:type="dxa"/>
              <w:left w:w="15" w:type="dxa"/>
              <w:bottom w:w="15" w:type="dxa"/>
              <w:right w:w="15" w:type="dxa"/>
            </w:tcMar>
            <w:vAlign w:val="center"/>
          </w:tcPr>
          <w:p w14:paraId="553F6200">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641" w:type="dxa"/>
            <w:vMerge w:val="continue"/>
            <w:noWrap w:val="0"/>
            <w:tcMar>
              <w:top w:w="15" w:type="dxa"/>
              <w:left w:w="15" w:type="dxa"/>
              <w:bottom w:w="15" w:type="dxa"/>
              <w:right w:w="15" w:type="dxa"/>
            </w:tcMar>
            <w:vAlign w:val="center"/>
          </w:tcPr>
          <w:p w14:paraId="1006C958">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521" w:type="dxa"/>
            <w:vMerge w:val="continue"/>
            <w:noWrap w:val="0"/>
            <w:tcMar>
              <w:top w:w="15" w:type="dxa"/>
              <w:left w:w="15" w:type="dxa"/>
              <w:bottom w:w="15" w:type="dxa"/>
              <w:right w:w="15" w:type="dxa"/>
            </w:tcMar>
            <w:vAlign w:val="center"/>
          </w:tcPr>
          <w:p w14:paraId="2542DB1F">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733" w:type="dxa"/>
            <w:vMerge w:val="continue"/>
            <w:noWrap w:val="0"/>
            <w:tcMar>
              <w:top w:w="15" w:type="dxa"/>
              <w:left w:w="15" w:type="dxa"/>
              <w:bottom w:w="15" w:type="dxa"/>
              <w:right w:w="15" w:type="dxa"/>
            </w:tcMar>
            <w:vAlign w:val="center"/>
          </w:tcPr>
          <w:p w14:paraId="19E2228A">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2161" w:type="dxa"/>
            <w:gridSpan w:val="2"/>
            <w:noWrap w:val="0"/>
            <w:tcMar>
              <w:top w:w="15" w:type="dxa"/>
              <w:left w:w="15" w:type="dxa"/>
              <w:bottom w:w="15" w:type="dxa"/>
              <w:right w:w="15" w:type="dxa"/>
            </w:tcMar>
            <w:vAlign w:val="center"/>
          </w:tcPr>
          <w:p w14:paraId="4CAC7729">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一级保护区</w:t>
            </w:r>
          </w:p>
        </w:tc>
        <w:tc>
          <w:tcPr>
            <w:tcW w:w="2150" w:type="dxa"/>
            <w:gridSpan w:val="2"/>
            <w:noWrap w:val="0"/>
            <w:tcMar>
              <w:top w:w="15" w:type="dxa"/>
              <w:left w:w="15" w:type="dxa"/>
              <w:bottom w:w="15" w:type="dxa"/>
              <w:right w:w="15" w:type="dxa"/>
            </w:tcMar>
            <w:vAlign w:val="center"/>
          </w:tcPr>
          <w:p w14:paraId="4236A3D8">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二级保护区</w:t>
            </w:r>
          </w:p>
        </w:tc>
      </w:tr>
      <w:tr w14:paraId="126C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dxa"/>
            <w:vMerge w:val="continue"/>
            <w:noWrap w:val="0"/>
            <w:tcMar>
              <w:top w:w="15" w:type="dxa"/>
              <w:left w:w="15" w:type="dxa"/>
              <w:bottom w:w="15" w:type="dxa"/>
              <w:right w:w="15" w:type="dxa"/>
            </w:tcMar>
            <w:vAlign w:val="center"/>
          </w:tcPr>
          <w:p w14:paraId="4F23BCCC">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1330" w:type="dxa"/>
            <w:vMerge w:val="continue"/>
            <w:noWrap w:val="0"/>
            <w:tcMar>
              <w:top w:w="15" w:type="dxa"/>
              <w:left w:w="15" w:type="dxa"/>
              <w:bottom w:w="15" w:type="dxa"/>
              <w:right w:w="15" w:type="dxa"/>
            </w:tcMar>
            <w:vAlign w:val="center"/>
          </w:tcPr>
          <w:p w14:paraId="322F6254">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614" w:type="dxa"/>
            <w:vMerge w:val="continue"/>
            <w:noWrap w:val="0"/>
            <w:tcMar>
              <w:top w:w="15" w:type="dxa"/>
              <w:left w:w="15" w:type="dxa"/>
              <w:bottom w:w="15" w:type="dxa"/>
              <w:right w:w="15" w:type="dxa"/>
            </w:tcMar>
            <w:vAlign w:val="center"/>
          </w:tcPr>
          <w:p w14:paraId="1D0F3C2F">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614" w:type="dxa"/>
            <w:vMerge w:val="continue"/>
            <w:noWrap w:val="0"/>
            <w:tcMar>
              <w:top w:w="15" w:type="dxa"/>
              <w:left w:w="15" w:type="dxa"/>
              <w:bottom w:w="15" w:type="dxa"/>
              <w:right w:w="15" w:type="dxa"/>
            </w:tcMar>
            <w:vAlign w:val="center"/>
          </w:tcPr>
          <w:p w14:paraId="4E4341EB">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641" w:type="dxa"/>
            <w:vMerge w:val="continue"/>
            <w:noWrap w:val="0"/>
            <w:tcMar>
              <w:top w:w="15" w:type="dxa"/>
              <w:left w:w="15" w:type="dxa"/>
              <w:bottom w:w="15" w:type="dxa"/>
              <w:right w:w="15" w:type="dxa"/>
            </w:tcMar>
            <w:vAlign w:val="center"/>
          </w:tcPr>
          <w:p w14:paraId="2A9EA865">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521" w:type="dxa"/>
            <w:vMerge w:val="continue"/>
            <w:noWrap w:val="0"/>
            <w:tcMar>
              <w:top w:w="15" w:type="dxa"/>
              <w:left w:w="15" w:type="dxa"/>
              <w:bottom w:w="15" w:type="dxa"/>
              <w:right w:w="15" w:type="dxa"/>
            </w:tcMar>
            <w:vAlign w:val="center"/>
          </w:tcPr>
          <w:p w14:paraId="0C760D8F">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733" w:type="dxa"/>
            <w:vMerge w:val="continue"/>
            <w:noWrap w:val="0"/>
            <w:tcMar>
              <w:top w:w="15" w:type="dxa"/>
              <w:left w:w="15" w:type="dxa"/>
              <w:bottom w:w="15" w:type="dxa"/>
              <w:right w:w="15" w:type="dxa"/>
            </w:tcMar>
            <w:vAlign w:val="center"/>
          </w:tcPr>
          <w:p w14:paraId="77369B2E">
            <w:pPr>
              <w:keepNext w:val="0"/>
              <w:keepLines w:val="0"/>
              <w:pageBreakBefore w:val="0"/>
              <w:kinsoku/>
              <w:wordWrap/>
              <w:overflowPunct/>
              <w:topLinePunct w:val="0"/>
              <w:autoSpaceDE/>
              <w:autoSpaceDN/>
              <w:bidi w:val="0"/>
              <w:spacing w:line="240" w:lineRule="atLeast"/>
              <w:ind w:left="0"/>
              <w:jc w:val="center"/>
              <w:textAlignment w:val="auto"/>
              <w:rPr>
                <w:rFonts w:hint="eastAsia" w:ascii="宋体" w:hAnsi="宋体" w:eastAsia="宋体" w:cs="宋体"/>
                <w:b/>
                <w:bCs/>
                <w:color w:val="auto"/>
                <w:sz w:val="21"/>
                <w:szCs w:val="21"/>
              </w:rPr>
            </w:pPr>
          </w:p>
        </w:tc>
        <w:tc>
          <w:tcPr>
            <w:tcW w:w="1114" w:type="dxa"/>
            <w:noWrap w:val="0"/>
            <w:tcMar>
              <w:top w:w="15" w:type="dxa"/>
              <w:left w:w="15" w:type="dxa"/>
              <w:bottom w:w="15" w:type="dxa"/>
              <w:right w:w="15" w:type="dxa"/>
            </w:tcMar>
            <w:vAlign w:val="center"/>
          </w:tcPr>
          <w:p w14:paraId="4BBEC41A">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水域范围</w:t>
            </w:r>
          </w:p>
        </w:tc>
        <w:tc>
          <w:tcPr>
            <w:tcW w:w="1047" w:type="dxa"/>
            <w:noWrap w:val="0"/>
            <w:tcMar>
              <w:top w:w="15" w:type="dxa"/>
              <w:left w:w="15" w:type="dxa"/>
              <w:bottom w:w="15" w:type="dxa"/>
              <w:right w:w="15" w:type="dxa"/>
            </w:tcMar>
            <w:vAlign w:val="center"/>
          </w:tcPr>
          <w:p w14:paraId="10C433CE">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陆域范围</w:t>
            </w:r>
          </w:p>
        </w:tc>
        <w:tc>
          <w:tcPr>
            <w:tcW w:w="985" w:type="dxa"/>
            <w:noWrap w:val="0"/>
            <w:tcMar>
              <w:top w:w="15" w:type="dxa"/>
              <w:left w:w="15" w:type="dxa"/>
              <w:bottom w:w="15" w:type="dxa"/>
              <w:right w:w="15" w:type="dxa"/>
            </w:tcMar>
            <w:vAlign w:val="center"/>
          </w:tcPr>
          <w:p w14:paraId="196F8766">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水域范围</w:t>
            </w:r>
          </w:p>
        </w:tc>
        <w:tc>
          <w:tcPr>
            <w:tcW w:w="1165" w:type="dxa"/>
            <w:noWrap w:val="0"/>
            <w:tcMar>
              <w:top w:w="15" w:type="dxa"/>
              <w:left w:w="15" w:type="dxa"/>
              <w:bottom w:w="15" w:type="dxa"/>
              <w:right w:w="15" w:type="dxa"/>
            </w:tcMar>
            <w:vAlign w:val="center"/>
          </w:tcPr>
          <w:p w14:paraId="71709493">
            <w:pPr>
              <w:keepNext w:val="0"/>
              <w:keepLines w:val="0"/>
              <w:pageBreakBefore w:val="0"/>
              <w:widowControl/>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陆域范围</w:t>
            </w:r>
          </w:p>
        </w:tc>
      </w:tr>
      <w:tr w14:paraId="2E52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7" w:type="dxa"/>
            <w:noWrap w:val="0"/>
            <w:tcMar>
              <w:top w:w="15" w:type="dxa"/>
              <w:left w:w="15" w:type="dxa"/>
              <w:bottom w:w="15" w:type="dxa"/>
              <w:right w:w="15" w:type="dxa"/>
            </w:tcMar>
            <w:vAlign w:val="center"/>
          </w:tcPr>
          <w:p w14:paraId="5B231590">
            <w:pPr>
              <w:keepNext w:val="0"/>
              <w:keepLines w:val="0"/>
              <w:pageBreakBefore w:val="0"/>
              <w:widowControl/>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w:t>
            </w:r>
          </w:p>
        </w:tc>
        <w:tc>
          <w:tcPr>
            <w:tcW w:w="1330" w:type="dxa"/>
            <w:noWrap w:val="0"/>
            <w:tcMar>
              <w:top w:w="15" w:type="dxa"/>
              <w:left w:w="15" w:type="dxa"/>
              <w:bottom w:w="15" w:type="dxa"/>
              <w:right w:w="15" w:type="dxa"/>
            </w:tcMar>
            <w:vAlign w:val="center"/>
          </w:tcPr>
          <w:p w14:paraId="09C65B19">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eastAsia="zh-CN"/>
              </w:rPr>
              <w:t>开州区五通乡老林沟饮用水源地</w:t>
            </w:r>
          </w:p>
        </w:tc>
        <w:tc>
          <w:tcPr>
            <w:tcW w:w="614" w:type="dxa"/>
            <w:noWrap w:val="0"/>
            <w:tcMar>
              <w:top w:w="15" w:type="dxa"/>
              <w:left w:w="15" w:type="dxa"/>
              <w:bottom w:w="15" w:type="dxa"/>
              <w:right w:w="15" w:type="dxa"/>
            </w:tcMar>
            <w:vAlign w:val="center"/>
          </w:tcPr>
          <w:p w14:paraId="376BA949">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老林沟</w:t>
            </w:r>
          </w:p>
        </w:tc>
        <w:tc>
          <w:tcPr>
            <w:tcW w:w="614" w:type="dxa"/>
            <w:noWrap w:val="0"/>
            <w:tcMar>
              <w:top w:w="15" w:type="dxa"/>
              <w:left w:w="15" w:type="dxa"/>
              <w:bottom w:w="15" w:type="dxa"/>
              <w:right w:w="15" w:type="dxa"/>
            </w:tcMar>
            <w:vAlign w:val="center"/>
          </w:tcPr>
          <w:p w14:paraId="35F828ED">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河流型</w:t>
            </w:r>
          </w:p>
        </w:tc>
        <w:tc>
          <w:tcPr>
            <w:tcW w:w="641" w:type="dxa"/>
            <w:noWrap w:val="0"/>
            <w:tcMar>
              <w:top w:w="15" w:type="dxa"/>
              <w:left w:w="15" w:type="dxa"/>
              <w:bottom w:w="15" w:type="dxa"/>
              <w:right w:w="15" w:type="dxa"/>
            </w:tcMar>
            <w:vAlign w:val="center"/>
          </w:tcPr>
          <w:p w14:paraId="12AE21FF">
            <w:pPr>
              <w:keepNext w:val="0"/>
              <w:keepLines w:val="0"/>
              <w:pageBreakBefore w:val="0"/>
              <w:widowControl/>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五通乡</w:t>
            </w:r>
          </w:p>
        </w:tc>
        <w:tc>
          <w:tcPr>
            <w:tcW w:w="521" w:type="dxa"/>
            <w:noWrap w:val="0"/>
            <w:tcMar>
              <w:top w:w="15" w:type="dxa"/>
              <w:left w:w="15" w:type="dxa"/>
              <w:bottom w:w="15" w:type="dxa"/>
              <w:right w:w="15" w:type="dxa"/>
            </w:tcMar>
            <w:vAlign w:val="center"/>
          </w:tcPr>
          <w:p w14:paraId="2EB40404">
            <w:pPr>
              <w:keepNext w:val="0"/>
              <w:keepLines w:val="0"/>
              <w:pageBreakBefore w:val="0"/>
              <w:widowControl/>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正常</w:t>
            </w:r>
          </w:p>
        </w:tc>
        <w:tc>
          <w:tcPr>
            <w:tcW w:w="733" w:type="dxa"/>
            <w:noWrap w:val="0"/>
            <w:tcMar>
              <w:top w:w="15" w:type="dxa"/>
              <w:left w:w="15" w:type="dxa"/>
              <w:bottom w:w="15" w:type="dxa"/>
              <w:right w:w="15" w:type="dxa"/>
            </w:tcMar>
            <w:vAlign w:val="center"/>
          </w:tcPr>
          <w:p w14:paraId="57AA8210">
            <w:pPr>
              <w:keepNext w:val="0"/>
              <w:keepLines w:val="0"/>
              <w:pageBreakBefore w:val="0"/>
              <w:widowControl/>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default" w:ascii="Times New Roman" w:hAnsi="Times New Roman" w:eastAsia="宋体" w:cs="Times New Roman"/>
                <w:b w:val="0"/>
                <w:bCs w:val="0"/>
                <w:color w:val="auto"/>
                <w:sz w:val="21"/>
                <w:szCs w:val="21"/>
              </w:rPr>
              <w:t>五通水厂</w:t>
            </w:r>
          </w:p>
        </w:tc>
        <w:tc>
          <w:tcPr>
            <w:tcW w:w="1114" w:type="dxa"/>
            <w:noWrap w:val="0"/>
            <w:tcMar>
              <w:top w:w="15" w:type="dxa"/>
              <w:left w:w="15" w:type="dxa"/>
              <w:bottom w:w="15" w:type="dxa"/>
              <w:right w:w="15" w:type="dxa"/>
            </w:tcMar>
            <w:vAlign w:val="center"/>
          </w:tcPr>
          <w:p w14:paraId="58D6562D">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取水口上游1000米至下游100米的整个水域。</w:t>
            </w:r>
          </w:p>
        </w:tc>
        <w:tc>
          <w:tcPr>
            <w:tcW w:w="1047" w:type="dxa"/>
            <w:noWrap w:val="0"/>
            <w:tcMar>
              <w:top w:w="15" w:type="dxa"/>
              <w:left w:w="15" w:type="dxa"/>
              <w:bottom w:w="15" w:type="dxa"/>
              <w:right w:w="15" w:type="dxa"/>
            </w:tcMar>
            <w:vAlign w:val="center"/>
          </w:tcPr>
          <w:p w14:paraId="4730B11F">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30年一遇洪水位控制高程以下陆域，陆域沿岸长度与一级保护区水域长度相同。</w:t>
            </w:r>
          </w:p>
        </w:tc>
        <w:tc>
          <w:tcPr>
            <w:tcW w:w="985" w:type="dxa"/>
            <w:noWrap w:val="0"/>
            <w:tcMar>
              <w:top w:w="15" w:type="dxa"/>
              <w:left w:w="15" w:type="dxa"/>
              <w:bottom w:w="15" w:type="dxa"/>
              <w:right w:w="15" w:type="dxa"/>
            </w:tcMar>
            <w:vAlign w:val="center"/>
          </w:tcPr>
          <w:p w14:paraId="61E0DDAD">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取水口上游1000—2000米，下游100—200米的整个水域。</w:t>
            </w:r>
          </w:p>
        </w:tc>
        <w:tc>
          <w:tcPr>
            <w:tcW w:w="1165" w:type="dxa"/>
            <w:noWrap w:val="0"/>
            <w:tcMar>
              <w:top w:w="15" w:type="dxa"/>
              <w:left w:w="15" w:type="dxa"/>
              <w:bottom w:w="15" w:type="dxa"/>
              <w:right w:w="15" w:type="dxa"/>
            </w:tcMar>
            <w:vAlign w:val="center"/>
          </w:tcPr>
          <w:p w14:paraId="77CA26B5">
            <w:pPr>
              <w:keepNext w:val="0"/>
              <w:keepLines w:val="0"/>
              <w:pageBreakBefore w:val="0"/>
              <w:widowControl/>
              <w:kinsoku/>
              <w:wordWrap/>
              <w:overflowPunct/>
              <w:topLinePunct w:val="0"/>
              <w:autoSpaceDE/>
              <w:autoSpaceDN/>
              <w:bidi w:val="0"/>
              <w:adjustRightIn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30年一遇洪水位控制高程以下陆域，陆域沿岸长度与二级保护区水域长度相同。</w:t>
            </w:r>
          </w:p>
        </w:tc>
      </w:tr>
    </w:tbl>
    <w:p w14:paraId="1C600E2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30" w:name="_Toc20101"/>
      <w:r>
        <w:rPr>
          <w:rFonts w:hint="eastAsia" w:ascii="宋体" w:hAnsi="宋体" w:eastAsia="宋体" w:cs="宋体"/>
          <w:b/>
          <w:bCs/>
          <w:color w:val="000000"/>
          <w:sz w:val="28"/>
          <w:szCs w:val="28"/>
          <w:lang w:val="en-US" w:eastAsia="zh-CN"/>
        </w:rPr>
        <w:t>2.3 饮用水水源地规范化建设现状调查</w:t>
      </w:r>
      <w:bookmarkEnd w:id="30"/>
    </w:p>
    <w:p w14:paraId="44E13C88">
      <w:pPr>
        <w:spacing w:line="520" w:lineRule="exact"/>
        <w:ind w:firstLine="560" w:firstLineChars="200"/>
        <w:rPr>
          <w:rFonts w:ascii="宋体" w:hAnsi="宋体"/>
          <w:sz w:val="28"/>
          <w:szCs w:val="28"/>
        </w:rPr>
      </w:pPr>
      <w:r>
        <w:rPr>
          <w:rFonts w:hint="eastAsia" w:ascii="宋体" w:hAnsi="宋体"/>
          <w:sz w:val="28"/>
          <w:szCs w:val="28"/>
        </w:rPr>
        <w:t>（1）保护区标志、隔离防护设置情况</w:t>
      </w:r>
    </w:p>
    <w:p w14:paraId="50124AA2">
      <w:pPr>
        <w:spacing w:line="520" w:lineRule="exact"/>
        <w:ind w:firstLine="560" w:firstLineChars="200"/>
        <w:rPr>
          <w:rFonts w:ascii="宋体" w:hAnsi="宋体"/>
          <w:sz w:val="28"/>
          <w:szCs w:val="28"/>
        </w:rPr>
      </w:pPr>
      <w:r>
        <w:rPr>
          <w:rFonts w:hint="eastAsia" w:ascii="宋体" w:hAnsi="宋体"/>
          <w:sz w:val="28"/>
          <w:szCs w:val="28"/>
          <w:lang w:val="en-US" w:eastAsia="zh-CN"/>
        </w:rPr>
        <w:t>开州区五通乡老林沟饮用水源地</w:t>
      </w:r>
      <w:r>
        <w:rPr>
          <w:rFonts w:hint="eastAsia" w:ascii="宋体" w:hAnsi="宋体"/>
          <w:sz w:val="28"/>
          <w:szCs w:val="28"/>
        </w:rPr>
        <w:t>已根据《饮用水水源保护区标志技术要求（HJ／T_433-2008）》的要求设置一级、二级保护区边界</w:t>
      </w:r>
      <w:r>
        <w:rPr>
          <w:rFonts w:hint="eastAsia" w:ascii="宋体" w:hAnsi="宋体"/>
          <w:sz w:val="28"/>
          <w:szCs w:val="28"/>
          <w:lang w:val="en-US" w:eastAsia="zh-CN"/>
        </w:rPr>
        <w:t>标志牌</w:t>
      </w:r>
      <w:r>
        <w:rPr>
          <w:rFonts w:hint="eastAsia" w:ascii="宋体" w:hAnsi="宋体"/>
          <w:sz w:val="28"/>
          <w:szCs w:val="28"/>
        </w:rPr>
        <w:t>；</w:t>
      </w:r>
      <w:r>
        <w:rPr>
          <w:rFonts w:hint="eastAsia" w:ascii="宋体" w:hAnsi="宋体"/>
          <w:sz w:val="28"/>
          <w:szCs w:val="28"/>
          <w:lang w:val="en-US" w:eastAsia="zh-CN"/>
        </w:rPr>
        <w:t>隔离防护栏等</w:t>
      </w:r>
      <w:r>
        <w:rPr>
          <w:rFonts w:hint="eastAsia" w:ascii="宋体" w:hAnsi="宋体"/>
          <w:sz w:val="28"/>
          <w:szCs w:val="28"/>
        </w:rPr>
        <w:t>。</w:t>
      </w:r>
    </w:p>
    <w:p w14:paraId="395886D4">
      <w:pPr>
        <w:pStyle w:val="22"/>
        <w:spacing w:line="520" w:lineRule="exact"/>
        <w:ind w:firstLine="0" w:firstLineChars="0"/>
        <w:jc w:val="center"/>
        <w:rPr>
          <w:rFonts w:hint="eastAsia" w:ascii="宋体" w:hAnsi="宋体"/>
          <w:b/>
          <w:bCs/>
          <w:sz w:val="24"/>
        </w:rPr>
      </w:pPr>
    </w:p>
    <w:p w14:paraId="0663EAC0">
      <w:pPr>
        <w:pStyle w:val="22"/>
        <w:spacing w:line="520" w:lineRule="exact"/>
        <w:ind w:firstLine="0" w:firstLineChars="0"/>
        <w:jc w:val="center"/>
        <w:rPr>
          <w:rFonts w:hint="eastAsia" w:ascii="宋体" w:hAnsi="宋体"/>
          <w:b/>
          <w:bCs/>
          <w:sz w:val="24"/>
        </w:rPr>
      </w:pPr>
    </w:p>
    <w:p w14:paraId="293B5817">
      <w:pPr>
        <w:pStyle w:val="22"/>
        <w:spacing w:line="520" w:lineRule="exact"/>
        <w:ind w:firstLine="0" w:firstLineChars="0"/>
        <w:jc w:val="center"/>
        <w:rPr>
          <w:rFonts w:hint="eastAsia" w:ascii="宋体" w:hAnsi="宋体"/>
          <w:b/>
          <w:bCs/>
          <w:sz w:val="24"/>
        </w:rPr>
      </w:pPr>
      <w:r>
        <w:rPr>
          <w:rFonts w:hint="eastAsia" w:ascii="宋体" w:hAnsi="宋体"/>
          <w:b/>
          <w:bCs/>
          <w:sz w:val="24"/>
        </w:rPr>
        <w:t xml:space="preserve">表 </w:t>
      </w:r>
      <w:r>
        <w:rPr>
          <w:rFonts w:hint="eastAsia" w:ascii="宋体" w:hAnsi="宋体"/>
          <w:b/>
          <w:bCs/>
          <w:sz w:val="24"/>
          <w:lang w:val="en-US" w:eastAsia="zh-CN"/>
        </w:rPr>
        <w:t>2.3</w:t>
      </w:r>
      <w:r>
        <w:rPr>
          <w:rFonts w:hint="eastAsia" w:ascii="宋体" w:hAnsi="宋体"/>
          <w:b/>
          <w:bCs/>
          <w:sz w:val="24"/>
        </w:rPr>
        <w:t>-</w:t>
      </w:r>
      <w:r>
        <w:rPr>
          <w:rFonts w:hint="eastAsia" w:ascii="宋体" w:hAnsi="宋体"/>
          <w:b/>
          <w:bCs/>
          <w:sz w:val="24"/>
          <w:lang w:val="en-US" w:eastAsia="zh-CN"/>
        </w:rPr>
        <w:t>1</w:t>
      </w:r>
      <w:r>
        <w:rPr>
          <w:rFonts w:hint="eastAsia" w:ascii="宋体" w:hAnsi="宋体"/>
          <w:b/>
          <w:bCs/>
          <w:sz w:val="24"/>
        </w:rPr>
        <w:t xml:space="preserve"> </w:t>
      </w:r>
      <w:r>
        <w:rPr>
          <w:rFonts w:hint="eastAsia" w:ascii="宋体" w:hAnsi="宋体"/>
          <w:b/>
          <w:bCs/>
          <w:sz w:val="24"/>
          <w:lang w:val="en-US" w:eastAsia="zh-CN"/>
        </w:rPr>
        <w:t>五通乡</w:t>
      </w:r>
      <w:r>
        <w:rPr>
          <w:rFonts w:hint="eastAsia" w:ascii="宋体" w:hAnsi="宋体"/>
          <w:b/>
          <w:bCs/>
          <w:sz w:val="24"/>
        </w:rPr>
        <w:t>水源地</w:t>
      </w:r>
      <w:r>
        <w:rPr>
          <w:rFonts w:hint="eastAsia" w:ascii="宋体" w:hAnsi="宋体"/>
          <w:b/>
          <w:bCs/>
          <w:sz w:val="24"/>
          <w:lang w:val="en-US" w:eastAsia="zh-CN"/>
        </w:rPr>
        <w:t>保护区</w:t>
      </w:r>
      <w:r>
        <w:rPr>
          <w:rFonts w:hint="eastAsia" w:ascii="宋体" w:hAnsi="宋体"/>
          <w:b/>
          <w:bCs/>
          <w:sz w:val="24"/>
        </w:rPr>
        <w:t>标志、隔离防护</w:t>
      </w:r>
      <w:r>
        <w:rPr>
          <w:rFonts w:hint="eastAsia" w:ascii="宋体" w:hAnsi="宋体"/>
          <w:b/>
          <w:bCs/>
          <w:sz w:val="24"/>
          <w:lang w:val="en-US" w:eastAsia="zh-CN"/>
        </w:rPr>
        <w:t>措施</w:t>
      </w:r>
      <w:r>
        <w:rPr>
          <w:rFonts w:hint="eastAsia" w:ascii="宋体" w:hAnsi="宋体"/>
          <w:b/>
          <w:bCs/>
          <w:sz w:val="24"/>
        </w:rPr>
        <w:t xml:space="preserve"> </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54"/>
        <w:gridCol w:w="5846"/>
      </w:tblGrid>
      <w:tr w14:paraId="6E53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658" w:type="dxa"/>
            <w:gridSpan w:val="2"/>
            <w:noWrap w:val="0"/>
            <w:vAlign w:val="center"/>
          </w:tcPr>
          <w:p w14:paraId="5B095485">
            <w:pPr>
              <w:pStyle w:val="22"/>
              <w:spacing w:line="300" w:lineRule="exact"/>
              <w:ind w:firstLine="0" w:firstLineChars="0"/>
              <w:jc w:val="center"/>
              <w:rPr>
                <w:rFonts w:hint="eastAsia" w:ascii="宋体" w:hAnsi="宋体"/>
                <w:b/>
                <w:bCs/>
                <w:lang w:val="en-US" w:eastAsia="zh-CN"/>
              </w:rPr>
            </w:pPr>
            <w:r>
              <w:rPr>
                <w:rFonts w:hint="eastAsia" w:ascii="宋体" w:hAnsi="宋体"/>
                <w:b/>
                <w:bCs/>
                <w:lang w:val="en-US" w:eastAsia="zh-CN"/>
              </w:rPr>
              <w:t>水源地</w:t>
            </w:r>
          </w:p>
        </w:tc>
        <w:tc>
          <w:tcPr>
            <w:tcW w:w="5846" w:type="dxa"/>
            <w:noWrap w:val="0"/>
            <w:vAlign w:val="center"/>
          </w:tcPr>
          <w:p w14:paraId="27EFF718">
            <w:pPr>
              <w:pStyle w:val="22"/>
              <w:spacing w:line="300" w:lineRule="exact"/>
              <w:ind w:firstLine="0" w:firstLineChars="0"/>
              <w:jc w:val="center"/>
              <w:rPr>
                <w:rFonts w:hint="default" w:ascii="宋体" w:hAnsi="宋体"/>
                <w:b/>
                <w:bCs/>
                <w:lang w:val="en-US"/>
              </w:rPr>
            </w:pPr>
            <w:r>
              <w:rPr>
                <w:rFonts w:hint="eastAsia" w:ascii="宋体" w:hAnsi="宋体"/>
                <w:b/>
                <w:bCs/>
                <w:sz w:val="21"/>
                <w:szCs w:val="21"/>
                <w:lang w:val="en-US" w:eastAsia="zh-CN"/>
              </w:rPr>
              <w:t>保护区</w:t>
            </w:r>
            <w:r>
              <w:rPr>
                <w:rFonts w:hint="eastAsia" w:ascii="宋体" w:hAnsi="宋体"/>
                <w:b/>
                <w:bCs/>
                <w:sz w:val="21"/>
                <w:szCs w:val="21"/>
              </w:rPr>
              <w:t>标志、隔离防护</w:t>
            </w:r>
            <w:r>
              <w:rPr>
                <w:rFonts w:hint="eastAsia" w:ascii="宋体" w:hAnsi="宋体"/>
                <w:b/>
                <w:bCs/>
                <w:sz w:val="21"/>
                <w:szCs w:val="21"/>
                <w:lang w:val="en-US" w:eastAsia="zh-CN"/>
              </w:rPr>
              <w:t>措施照片</w:t>
            </w:r>
          </w:p>
        </w:tc>
      </w:tr>
      <w:tr w14:paraId="0C3F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0" w:hRule="atLeast"/>
          <w:tblHeader/>
          <w:jc w:val="center"/>
        </w:trPr>
        <w:tc>
          <w:tcPr>
            <w:tcW w:w="1104" w:type="dxa"/>
            <w:noWrap w:val="0"/>
            <w:vAlign w:val="center"/>
          </w:tcPr>
          <w:p w14:paraId="73152A24">
            <w:pPr>
              <w:pStyle w:val="22"/>
              <w:spacing w:line="300" w:lineRule="exact"/>
              <w:ind w:firstLine="0" w:firstLineChars="0"/>
              <w:jc w:val="center"/>
              <w:rPr>
                <w:rFonts w:hint="default" w:ascii="宋体" w:hAnsi="宋体"/>
                <w:b/>
                <w:bCs/>
                <w:lang w:val="en-US" w:eastAsia="zh-CN"/>
              </w:rPr>
            </w:pPr>
            <w:r>
              <w:rPr>
                <w:rFonts w:hint="eastAsia" w:ascii="宋体" w:hAnsi="宋体"/>
                <w:sz w:val="21"/>
                <w:szCs w:val="21"/>
                <w:lang w:val="en-US" w:eastAsia="zh-CN"/>
              </w:rPr>
              <w:t>开州区五通乡老林沟饮用水源地</w:t>
            </w:r>
          </w:p>
        </w:tc>
        <w:tc>
          <w:tcPr>
            <w:tcW w:w="1554" w:type="dxa"/>
            <w:noWrap w:val="0"/>
            <w:vAlign w:val="center"/>
          </w:tcPr>
          <w:p w14:paraId="4B9C2F85">
            <w:pPr>
              <w:pStyle w:val="22"/>
              <w:spacing w:line="300" w:lineRule="exact"/>
              <w:ind w:firstLine="0" w:firstLineChars="0"/>
              <w:jc w:val="center"/>
              <w:rPr>
                <w:rFonts w:hint="default" w:ascii="宋体" w:hAnsi="宋体"/>
                <w:sz w:val="21"/>
                <w:szCs w:val="21"/>
                <w:lang w:val="en-US" w:eastAsia="zh-CN"/>
              </w:rPr>
            </w:pPr>
            <w:r>
              <w:rPr>
                <w:rFonts w:hint="eastAsia" w:ascii="宋体" w:hAnsi="宋体"/>
                <w:sz w:val="21"/>
                <w:szCs w:val="21"/>
                <w:lang w:val="en-US" w:eastAsia="zh-CN"/>
              </w:rPr>
              <w:t>一级保护区标识</w:t>
            </w:r>
          </w:p>
        </w:tc>
        <w:tc>
          <w:tcPr>
            <w:tcW w:w="5846" w:type="dxa"/>
            <w:noWrap w:val="0"/>
            <w:vAlign w:val="center"/>
          </w:tcPr>
          <w:p w14:paraId="2FFDA740">
            <w:pPr>
              <w:pStyle w:val="22"/>
              <w:spacing w:line="300" w:lineRule="exact"/>
              <w:ind w:firstLine="0" w:firstLineChars="0"/>
              <w:jc w:val="center"/>
              <w:rPr>
                <w:rFonts w:hint="eastAsia" w:ascii="宋体" w:hAnsi="宋体" w:eastAsia="宋体"/>
                <w:b/>
                <w:bCs/>
                <w:lang w:eastAsia="zh-CN"/>
              </w:rPr>
            </w:pPr>
            <w:r>
              <w:rPr>
                <w:rFonts w:hint="eastAsia" w:ascii="宋体" w:hAnsi="宋体" w:eastAsia="宋体"/>
                <w:b/>
                <w:bCs/>
                <w:lang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88900</wp:posOffset>
                  </wp:positionV>
                  <wp:extent cx="3472180" cy="2604135"/>
                  <wp:effectExtent l="0" t="0" r="13970" b="5715"/>
                  <wp:wrapTopAndBottom/>
                  <wp:docPr id="9" name="图片 9" descr="IMG_20251010_11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1010_115329"/>
                          <pic:cNvPicPr>
                            <a:picLocks noChangeAspect="1"/>
                          </pic:cNvPicPr>
                        </pic:nvPicPr>
                        <pic:blipFill>
                          <a:blip r:embed="rId11"/>
                          <a:stretch>
                            <a:fillRect/>
                          </a:stretch>
                        </pic:blipFill>
                        <pic:spPr>
                          <a:xfrm>
                            <a:off x="0" y="0"/>
                            <a:ext cx="3472180" cy="2604135"/>
                          </a:xfrm>
                          <a:prstGeom prst="rect">
                            <a:avLst/>
                          </a:prstGeom>
                        </pic:spPr>
                      </pic:pic>
                    </a:graphicData>
                  </a:graphic>
                </wp:anchor>
              </w:drawing>
            </w:r>
          </w:p>
        </w:tc>
      </w:tr>
      <w:tr w14:paraId="6343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6" w:hRule="atLeast"/>
          <w:tblHeader/>
          <w:jc w:val="center"/>
        </w:trPr>
        <w:tc>
          <w:tcPr>
            <w:tcW w:w="1104" w:type="dxa"/>
            <w:vMerge w:val="restart"/>
            <w:noWrap w:val="0"/>
            <w:vAlign w:val="center"/>
          </w:tcPr>
          <w:p w14:paraId="2C727A3B">
            <w:pPr>
              <w:pStyle w:val="22"/>
              <w:spacing w:line="300" w:lineRule="exact"/>
              <w:ind w:firstLine="0" w:firstLineChars="0"/>
              <w:jc w:val="center"/>
              <w:rPr>
                <w:rFonts w:hint="default" w:ascii="宋体" w:hAnsi="宋体"/>
                <w:sz w:val="28"/>
                <w:szCs w:val="28"/>
                <w:lang w:val="en-US" w:eastAsia="zh-CN"/>
              </w:rPr>
            </w:pPr>
            <w:r>
              <w:rPr>
                <w:rFonts w:hint="eastAsia" w:ascii="宋体" w:hAnsi="宋体"/>
                <w:sz w:val="21"/>
                <w:szCs w:val="21"/>
                <w:lang w:val="en-US" w:eastAsia="zh-CN"/>
              </w:rPr>
              <w:t>开州区五通乡老林沟饮用水源地</w:t>
            </w:r>
          </w:p>
        </w:tc>
        <w:tc>
          <w:tcPr>
            <w:tcW w:w="1554" w:type="dxa"/>
            <w:noWrap w:val="0"/>
            <w:vAlign w:val="center"/>
          </w:tcPr>
          <w:p w14:paraId="06799394">
            <w:pPr>
              <w:pStyle w:val="22"/>
              <w:spacing w:line="300" w:lineRule="exact"/>
              <w:ind w:firstLine="0" w:firstLineChars="0"/>
              <w:jc w:val="center"/>
              <w:rPr>
                <w:rFonts w:hint="eastAsia" w:ascii="宋体" w:hAnsi="宋体"/>
                <w:sz w:val="21"/>
                <w:szCs w:val="21"/>
                <w:lang w:val="en-US" w:eastAsia="zh-CN"/>
              </w:rPr>
            </w:pPr>
            <w:r>
              <w:rPr>
                <w:rFonts w:hint="eastAsia" w:ascii="宋体" w:hAnsi="宋体"/>
                <w:sz w:val="21"/>
                <w:szCs w:val="21"/>
                <w:lang w:val="en-US" w:eastAsia="zh-CN"/>
              </w:rPr>
              <w:t>一级保护区标识</w:t>
            </w:r>
          </w:p>
        </w:tc>
        <w:tc>
          <w:tcPr>
            <w:tcW w:w="5846" w:type="dxa"/>
            <w:noWrap w:val="0"/>
            <w:vAlign w:val="center"/>
          </w:tcPr>
          <w:p w14:paraId="492DCB4C">
            <w:pPr>
              <w:pStyle w:val="22"/>
              <w:spacing w:line="300" w:lineRule="exact"/>
              <w:ind w:firstLine="0" w:firstLineChars="0"/>
              <w:jc w:val="both"/>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441960</wp:posOffset>
                  </wp:positionH>
                  <wp:positionV relativeFrom="paragraph">
                    <wp:posOffset>-187325</wp:posOffset>
                  </wp:positionV>
                  <wp:extent cx="2475865" cy="2967990"/>
                  <wp:effectExtent l="0" t="0" r="635" b="3810"/>
                  <wp:wrapTopAndBottom/>
                  <wp:docPr id="14" name="图片 14" descr="IMG_20251010_11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1010_115339"/>
                          <pic:cNvPicPr>
                            <a:picLocks noChangeAspect="1"/>
                          </pic:cNvPicPr>
                        </pic:nvPicPr>
                        <pic:blipFill>
                          <a:blip r:embed="rId12"/>
                          <a:stretch>
                            <a:fillRect/>
                          </a:stretch>
                        </pic:blipFill>
                        <pic:spPr>
                          <a:xfrm>
                            <a:off x="0" y="0"/>
                            <a:ext cx="2475865" cy="2967990"/>
                          </a:xfrm>
                          <a:prstGeom prst="rect">
                            <a:avLst/>
                          </a:prstGeom>
                        </pic:spPr>
                      </pic:pic>
                    </a:graphicData>
                  </a:graphic>
                </wp:anchor>
              </w:drawing>
            </w:r>
          </w:p>
        </w:tc>
      </w:tr>
      <w:tr w14:paraId="1406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tblHeader/>
          <w:jc w:val="center"/>
        </w:trPr>
        <w:tc>
          <w:tcPr>
            <w:tcW w:w="1104" w:type="dxa"/>
            <w:vMerge w:val="continue"/>
            <w:noWrap w:val="0"/>
            <w:vAlign w:val="center"/>
          </w:tcPr>
          <w:p w14:paraId="377F8873">
            <w:pPr>
              <w:pStyle w:val="22"/>
              <w:spacing w:line="300" w:lineRule="exact"/>
              <w:ind w:firstLine="0" w:firstLineChars="0"/>
              <w:jc w:val="center"/>
              <w:rPr>
                <w:rFonts w:hint="default" w:ascii="宋体" w:hAnsi="宋体"/>
                <w:sz w:val="28"/>
                <w:szCs w:val="28"/>
                <w:lang w:val="en-US" w:eastAsia="zh-CN"/>
              </w:rPr>
            </w:pPr>
          </w:p>
        </w:tc>
        <w:tc>
          <w:tcPr>
            <w:tcW w:w="1554" w:type="dxa"/>
            <w:noWrap w:val="0"/>
            <w:vAlign w:val="center"/>
          </w:tcPr>
          <w:p w14:paraId="792D5ED8">
            <w:pPr>
              <w:pStyle w:val="22"/>
              <w:spacing w:line="300" w:lineRule="exact"/>
              <w:ind w:firstLine="0" w:firstLineChars="0"/>
              <w:jc w:val="center"/>
              <w:rPr>
                <w:rFonts w:hint="default" w:ascii="宋体" w:hAnsi="宋体"/>
                <w:sz w:val="21"/>
                <w:szCs w:val="21"/>
                <w:lang w:val="en-US" w:eastAsia="zh-CN"/>
              </w:rPr>
            </w:pPr>
            <w:r>
              <w:rPr>
                <w:rFonts w:hint="eastAsia" w:ascii="宋体" w:hAnsi="宋体"/>
                <w:sz w:val="21"/>
                <w:szCs w:val="21"/>
                <w:lang w:val="en-US" w:eastAsia="zh-CN"/>
              </w:rPr>
              <w:t>取水口标识</w:t>
            </w:r>
          </w:p>
        </w:tc>
        <w:tc>
          <w:tcPr>
            <w:tcW w:w="5846" w:type="dxa"/>
            <w:noWrap w:val="0"/>
            <w:vAlign w:val="center"/>
          </w:tcPr>
          <w:p w14:paraId="062D9D9E">
            <w:pPr>
              <w:pStyle w:val="22"/>
              <w:spacing w:line="300" w:lineRule="exact"/>
              <w:ind w:firstLine="0" w:firstLineChars="0"/>
              <w:jc w:val="cente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146685</wp:posOffset>
                  </wp:positionH>
                  <wp:positionV relativeFrom="paragraph">
                    <wp:posOffset>69850</wp:posOffset>
                  </wp:positionV>
                  <wp:extent cx="3145155" cy="2360295"/>
                  <wp:effectExtent l="0" t="0" r="17145" b="1905"/>
                  <wp:wrapTopAndBottom/>
                  <wp:docPr id="10" name="图片 10" descr="IMG_20251010_1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1010_115428"/>
                          <pic:cNvPicPr>
                            <a:picLocks noChangeAspect="1"/>
                          </pic:cNvPicPr>
                        </pic:nvPicPr>
                        <pic:blipFill>
                          <a:blip r:embed="rId13"/>
                          <a:stretch>
                            <a:fillRect/>
                          </a:stretch>
                        </pic:blipFill>
                        <pic:spPr>
                          <a:xfrm>
                            <a:off x="0" y="0"/>
                            <a:ext cx="3145155" cy="2360295"/>
                          </a:xfrm>
                          <a:prstGeom prst="rect">
                            <a:avLst/>
                          </a:prstGeom>
                        </pic:spPr>
                      </pic:pic>
                    </a:graphicData>
                  </a:graphic>
                </wp:anchor>
              </w:drawing>
            </w:r>
          </w:p>
        </w:tc>
      </w:tr>
      <w:tr w14:paraId="63D2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73820172">
            <w:pPr>
              <w:pStyle w:val="22"/>
              <w:spacing w:line="300" w:lineRule="exact"/>
              <w:ind w:firstLine="0" w:firstLineChars="0"/>
              <w:jc w:val="center"/>
              <w:rPr>
                <w:rFonts w:hint="eastAsia" w:ascii="宋体" w:hAnsi="宋体"/>
                <w:sz w:val="28"/>
                <w:szCs w:val="28"/>
                <w:lang w:val="en-US" w:eastAsia="zh-CN"/>
              </w:rPr>
            </w:pPr>
          </w:p>
        </w:tc>
        <w:tc>
          <w:tcPr>
            <w:tcW w:w="1554" w:type="dxa"/>
            <w:noWrap w:val="0"/>
            <w:vAlign w:val="center"/>
          </w:tcPr>
          <w:p w14:paraId="1B262FB6">
            <w:pPr>
              <w:pStyle w:val="22"/>
              <w:spacing w:line="300" w:lineRule="exact"/>
              <w:ind w:firstLine="0" w:firstLineChars="0"/>
              <w:jc w:val="center"/>
              <w:rPr>
                <w:rFonts w:hint="default" w:ascii="宋体" w:hAnsi="宋体"/>
                <w:sz w:val="21"/>
                <w:szCs w:val="21"/>
                <w:lang w:val="en-US" w:eastAsia="zh-CN"/>
              </w:rPr>
            </w:pPr>
            <w:r>
              <w:rPr>
                <w:rFonts w:hint="eastAsia" w:ascii="宋体" w:hAnsi="宋体"/>
                <w:sz w:val="21"/>
                <w:szCs w:val="21"/>
                <w:lang w:val="en-US" w:eastAsia="zh-CN"/>
              </w:rPr>
              <w:t>取水口位置</w:t>
            </w:r>
          </w:p>
        </w:tc>
        <w:tc>
          <w:tcPr>
            <w:tcW w:w="5846" w:type="dxa"/>
            <w:noWrap w:val="0"/>
            <w:vAlign w:val="center"/>
          </w:tcPr>
          <w:p w14:paraId="36168225">
            <w:pPr>
              <w:pStyle w:val="22"/>
              <w:spacing w:line="300" w:lineRule="exact"/>
              <w:ind w:firstLine="0" w:firstLineChars="0"/>
              <w:jc w:val="center"/>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60325</wp:posOffset>
                  </wp:positionV>
                  <wp:extent cx="3472180" cy="2604135"/>
                  <wp:effectExtent l="0" t="0" r="13970" b="5715"/>
                  <wp:wrapTopAndBottom/>
                  <wp:docPr id="11" name="图片 11" descr="IMG_20251010_1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1010_115407"/>
                          <pic:cNvPicPr>
                            <a:picLocks noChangeAspect="1"/>
                          </pic:cNvPicPr>
                        </pic:nvPicPr>
                        <pic:blipFill>
                          <a:blip r:embed="rId14"/>
                          <a:stretch>
                            <a:fillRect/>
                          </a:stretch>
                        </pic:blipFill>
                        <pic:spPr>
                          <a:xfrm>
                            <a:off x="0" y="0"/>
                            <a:ext cx="3472180" cy="2604135"/>
                          </a:xfrm>
                          <a:prstGeom prst="rect">
                            <a:avLst/>
                          </a:prstGeom>
                        </pic:spPr>
                      </pic:pic>
                    </a:graphicData>
                  </a:graphic>
                </wp:anchor>
              </w:drawing>
            </w:r>
          </w:p>
        </w:tc>
      </w:tr>
      <w:tr w14:paraId="52E3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6" w:hRule="atLeast"/>
          <w:tblHeader/>
          <w:jc w:val="center"/>
        </w:trPr>
        <w:tc>
          <w:tcPr>
            <w:tcW w:w="1104" w:type="dxa"/>
            <w:vMerge w:val="restart"/>
            <w:noWrap w:val="0"/>
            <w:vAlign w:val="center"/>
          </w:tcPr>
          <w:p w14:paraId="48D92EB8">
            <w:pPr>
              <w:pStyle w:val="22"/>
              <w:spacing w:line="300" w:lineRule="exact"/>
              <w:ind w:firstLine="0" w:firstLineChars="0"/>
              <w:jc w:val="center"/>
              <w:rPr>
                <w:rFonts w:hint="eastAsia" w:ascii="宋体" w:hAnsi="宋体"/>
                <w:sz w:val="21"/>
                <w:szCs w:val="21"/>
                <w:lang w:val="en-US" w:eastAsia="zh-CN"/>
              </w:rPr>
            </w:pPr>
            <w:r>
              <w:rPr>
                <w:rFonts w:hint="eastAsia" w:ascii="宋体" w:hAnsi="宋体"/>
                <w:sz w:val="21"/>
                <w:szCs w:val="21"/>
                <w:lang w:val="en-US" w:eastAsia="zh-CN"/>
              </w:rPr>
              <w:t>开州区五通乡老林沟饮用水源地</w:t>
            </w:r>
          </w:p>
        </w:tc>
        <w:tc>
          <w:tcPr>
            <w:tcW w:w="1554" w:type="dxa"/>
            <w:noWrap w:val="0"/>
            <w:vAlign w:val="center"/>
          </w:tcPr>
          <w:p w14:paraId="2CA09158">
            <w:pPr>
              <w:pStyle w:val="22"/>
              <w:spacing w:line="300" w:lineRule="exact"/>
              <w:ind w:firstLine="0" w:firstLineChars="0"/>
              <w:jc w:val="center"/>
              <w:rPr>
                <w:rFonts w:hint="default" w:ascii="宋体" w:hAnsi="宋体"/>
                <w:sz w:val="28"/>
                <w:szCs w:val="28"/>
                <w:lang w:val="en-US" w:eastAsia="zh-CN"/>
              </w:rPr>
            </w:pPr>
            <w:r>
              <w:rPr>
                <w:rFonts w:hint="eastAsia" w:ascii="宋体" w:hAnsi="宋体"/>
                <w:sz w:val="21"/>
                <w:szCs w:val="21"/>
                <w:lang w:val="en-US" w:eastAsia="zh-CN"/>
              </w:rPr>
              <w:t>二级保护区标识</w:t>
            </w:r>
          </w:p>
        </w:tc>
        <w:tc>
          <w:tcPr>
            <w:tcW w:w="5846" w:type="dxa"/>
            <w:noWrap w:val="0"/>
            <w:vAlign w:val="center"/>
          </w:tcPr>
          <w:p w14:paraId="671E958D">
            <w:pPr>
              <w:pStyle w:val="22"/>
              <w:spacing w:line="300" w:lineRule="exact"/>
              <w:ind w:firstLine="0" w:firstLineChars="0"/>
              <w:jc w:val="both"/>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74295</wp:posOffset>
                  </wp:positionH>
                  <wp:positionV relativeFrom="paragraph">
                    <wp:posOffset>69850</wp:posOffset>
                  </wp:positionV>
                  <wp:extent cx="3394710" cy="2548890"/>
                  <wp:effectExtent l="0" t="0" r="15240" b="3810"/>
                  <wp:wrapTopAndBottom/>
                  <wp:docPr id="12" name="图片 12" descr="IMG_20251010_1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1010_120009"/>
                          <pic:cNvPicPr>
                            <a:picLocks noChangeAspect="1"/>
                          </pic:cNvPicPr>
                        </pic:nvPicPr>
                        <pic:blipFill>
                          <a:blip r:embed="rId15"/>
                          <a:stretch>
                            <a:fillRect/>
                          </a:stretch>
                        </pic:blipFill>
                        <pic:spPr>
                          <a:xfrm>
                            <a:off x="0" y="0"/>
                            <a:ext cx="3394710" cy="2548890"/>
                          </a:xfrm>
                          <a:prstGeom prst="rect">
                            <a:avLst/>
                          </a:prstGeom>
                        </pic:spPr>
                      </pic:pic>
                    </a:graphicData>
                  </a:graphic>
                </wp:anchor>
              </w:drawing>
            </w:r>
          </w:p>
        </w:tc>
      </w:tr>
      <w:tr w14:paraId="0211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64FFE748">
            <w:pPr>
              <w:pStyle w:val="22"/>
              <w:spacing w:line="300" w:lineRule="exact"/>
              <w:ind w:firstLine="0" w:firstLineChars="0"/>
              <w:jc w:val="center"/>
              <w:rPr>
                <w:rFonts w:hint="eastAsia" w:ascii="宋体" w:hAnsi="宋体"/>
                <w:sz w:val="21"/>
                <w:szCs w:val="21"/>
                <w:lang w:val="en-US" w:eastAsia="zh-CN"/>
              </w:rPr>
            </w:pPr>
          </w:p>
        </w:tc>
        <w:tc>
          <w:tcPr>
            <w:tcW w:w="1554" w:type="dxa"/>
            <w:noWrap w:val="0"/>
            <w:vAlign w:val="center"/>
          </w:tcPr>
          <w:p w14:paraId="70FEA62E">
            <w:pPr>
              <w:pStyle w:val="22"/>
              <w:spacing w:line="300" w:lineRule="exact"/>
              <w:ind w:firstLine="0" w:firstLineChars="0"/>
              <w:jc w:val="center"/>
              <w:rPr>
                <w:rFonts w:hint="eastAsia" w:ascii="宋体" w:hAnsi="宋体"/>
                <w:sz w:val="21"/>
                <w:szCs w:val="21"/>
                <w:lang w:val="en-US" w:eastAsia="zh-CN"/>
              </w:rPr>
            </w:pPr>
            <w:r>
              <w:rPr>
                <w:rFonts w:hint="eastAsia" w:ascii="宋体" w:hAnsi="宋体"/>
                <w:sz w:val="21"/>
                <w:szCs w:val="21"/>
                <w:lang w:val="en-US" w:eastAsia="zh-CN"/>
              </w:rPr>
              <w:t>二级保护区标识</w:t>
            </w:r>
          </w:p>
        </w:tc>
        <w:tc>
          <w:tcPr>
            <w:tcW w:w="5846" w:type="dxa"/>
            <w:noWrap w:val="0"/>
            <w:vAlign w:val="center"/>
          </w:tcPr>
          <w:p w14:paraId="71742E27">
            <w:pPr>
              <w:pStyle w:val="22"/>
              <w:spacing w:line="300" w:lineRule="exact"/>
              <w:ind w:firstLine="0" w:firstLineChars="0"/>
              <w:jc w:val="center"/>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641985</wp:posOffset>
                  </wp:positionH>
                  <wp:positionV relativeFrom="paragraph">
                    <wp:posOffset>79375</wp:posOffset>
                  </wp:positionV>
                  <wp:extent cx="1957705" cy="2610485"/>
                  <wp:effectExtent l="0" t="0" r="4445" b="18415"/>
                  <wp:wrapTopAndBottom/>
                  <wp:docPr id="15" name="图片 15" descr="IMG_20251010_1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1010_120152"/>
                          <pic:cNvPicPr>
                            <a:picLocks noChangeAspect="1"/>
                          </pic:cNvPicPr>
                        </pic:nvPicPr>
                        <pic:blipFill>
                          <a:blip r:embed="rId16"/>
                          <a:stretch>
                            <a:fillRect/>
                          </a:stretch>
                        </pic:blipFill>
                        <pic:spPr>
                          <a:xfrm>
                            <a:off x="0" y="0"/>
                            <a:ext cx="1957705" cy="2610485"/>
                          </a:xfrm>
                          <a:prstGeom prst="rect">
                            <a:avLst/>
                          </a:prstGeom>
                        </pic:spPr>
                      </pic:pic>
                    </a:graphicData>
                  </a:graphic>
                </wp:anchor>
              </w:drawing>
            </w:r>
          </w:p>
        </w:tc>
      </w:tr>
      <w:tr w14:paraId="78DD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5608BC7F">
            <w:pPr>
              <w:pStyle w:val="22"/>
              <w:spacing w:line="300" w:lineRule="exact"/>
              <w:ind w:firstLine="0" w:firstLineChars="0"/>
              <w:jc w:val="center"/>
              <w:rPr>
                <w:rFonts w:hint="eastAsia" w:ascii="宋体" w:hAnsi="宋体"/>
                <w:sz w:val="21"/>
                <w:szCs w:val="21"/>
                <w:lang w:val="en-US" w:eastAsia="zh-CN"/>
              </w:rPr>
            </w:pPr>
          </w:p>
        </w:tc>
        <w:tc>
          <w:tcPr>
            <w:tcW w:w="1554" w:type="dxa"/>
            <w:noWrap w:val="0"/>
            <w:vAlign w:val="center"/>
          </w:tcPr>
          <w:p w14:paraId="346CC0AA">
            <w:pPr>
              <w:pStyle w:val="22"/>
              <w:spacing w:line="300" w:lineRule="exact"/>
              <w:ind w:firstLine="0" w:firstLineChars="0"/>
              <w:jc w:val="center"/>
              <w:rPr>
                <w:rFonts w:hint="default" w:ascii="宋体" w:hAnsi="宋体"/>
                <w:sz w:val="21"/>
                <w:szCs w:val="21"/>
                <w:lang w:val="en-US" w:eastAsia="zh-CN"/>
              </w:rPr>
            </w:pPr>
            <w:r>
              <w:rPr>
                <w:rFonts w:hint="eastAsia" w:ascii="宋体" w:hAnsi="宋体"/>
                <w:sz w:val="21"/>
                <w:szCs w:val="21"/>
                <w:lang w:val="en-US" w:eastAsia="zh-CN"/>
              </w:rPr>
              <w:t>隔离防护网</w:t>
            </w:r>
          </w:p>
        </w:tc>
        <w:tc>
          <w:tcPr>
            <w:tcW w:w="5846" w:type="dxa"/>
            <w:noWrap w:val="0"/>
            <w:vAlign w:val="center"/>
          </w:tcPr>
          <w:p w14:paraId="30F8BFF8">
            <w:pPr>
              <w:pStyle w:val="22"/>
              <w:spacing w:line="300" w:lineRule="exact"/>
              <w:ind w:firstLine="0" w:firstLineChars="0"/>
              <w:jc w:val="center"/>
              <w:rPr>
                <w:rFonts w:hint="eastAsia"/>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13335</wp:posOffset>
                  </wp:positionH>
                  <wp:positionV relativeFrom="paragraph">
                    <wp:posOffset>-1235075</wp:posOffset>
                  </wp:positionV>
                  <wp:extent cx="3447415" cy="2585720"/>
                  <wp:effectExtent l="0" t="0" r="635" b="5080"/>
                  <wp:wrapTopAndBottom/>
                  <wp:docPr id="16" name="图片 16" descr="IMG_20251010_11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1010_115728"/>
                          <pic:cNvPicPr>
                            <a:picLocks noChangeAspect="1"/>
                          </pic:cNvPicPr>
                        </pic:nvPicPr>
                        <pic:blipFill>
                          <a:blip r:embed="rId17"/>
                          <a:stretch>
                            <a:fillRect/>
                          </a:stretch>
                        </pic:blipFill>
                        <pic:spPr>
                          <a:xfrm>
                            <a:off x="0" y="0"/>
                            <a:ext cx="3447415" cy="2585720"/>
                          </a:xfrm>
                          <a:prstGeom prst="rect">
                            <a:avLst/>
                          </a:prstGeom>
                        </pic:spPr>
                      </pic:pic>
                    </a:graphicData>
                  </a:graphic>
                </wp:anchor>
              </w:drawing>
            </w:r>
          </w:p>
        </w:tc>
      </w:tr>
      <w:tr w14:paraId="32B4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restart"/>
            <w:noWrap w:val="0"/>
            <w:vAlign w:val="center"/>
          </w:tcPr>
          <w:p w14:paraId="415C1B6D">
            <w:pPr>
              <w:pStyle w:val="22"/>
              <w:spacing w:line="300" w:lineRule="exact"/>
              <w:ind w:firstLine="0" w:firstLineChars="0"/>
              <w:jc w:val="center"/>
              <w:rPr>
                <w:rFonts w:hint="eastAsia" w:ascii="宋体" w:hAnsi="宋体"/>
                <w:sz w:val="21"/>
                <w:szCs w:val="21"/>
                <w:lang w:val="en-US" w:eastAsia="zh-CN"/>
              </w:rPr>
            </w:pPr>
            <w:r>
              <w:rPr>
                <w:rFonts w:hint="eastAsia" w:ascii="宋体" w:hAnsi="宋体"/>
                <w:sz w:val="21"/>
                <w:szCs w:val="21"/>
                <w:lang w:val="en-US" w:eastAsia="zh-CN"/>
              </w:rPr>
              <w:t>开州区五通乡老林沟饮用水源地</w:t>
            </w:r>
          </w:p>
        </w:tc>
        <w:tc>
          <w:tcPr>
            <w:tcW w:w="1554" w:type="dxa"/>
            <w:noWrap w:val="0"/>
            <w:vAlign w:val="center"/>
          </w:tcPr>
          <w:p w14:paraId="196723C7">
            <w:pPr>
              <w:pStyle w:val="22"/>
              <w:spacing w:line="300" w:lineRule="exact"/>
              <w:ind w:firstLine="0" w:firstLineChars="0"/>
              <w:jc w:val="center"/>
              <w:rPr>
                <w:rFonts w:hint="default" w:ascii="宋体" w:hAnsi="宋体"/>
                <w:sz w:val="21"/>
                <w:szCs w:val="21"/>
                <w:lang w:val="en-US" w:eastAsia="zh-CN"/>
              </w:rPr>
            </w:pPr>
            <w:r>
              <w:rPr>
                <w:rFonts w:hint="eastAsia" w:ascii="宋体" w:hAnsi="宋体"/>
                <w:sz w:val="21"/>
                <w:szCs w:val="21"/>
                <w:lang w:val="en-US" w:eastAsia="zh-CN"/>
              </w:rPr>
              <w:t>取水点监控摄像头</w:t>
            </w:r>
          </w:p>
        </w:tc>
        <w:tc>
          <w:tcPr>
            <w:tcW w:w="5846" w:type="dxa"/>
            <w:noWrap w:val="0"/>
            <w:vAlign w:val="center"/>
          </w:tcPr>
          <w:p w14:paraId="0B5B36A6">
            <w:pPr>
              <w:pStyle w:val="22"/>
              <w:spacing w:line="300" w:lineRule="exact"/>
              <w:ind w:firstLine="0" w:firstLineChars="0"/>
              <w:jc w:val="center"/>
              <w:rPr>
                <w:rFonts w:hint="eastAsia"/>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381000</wp:posOffset>
                  </wp:positionH>
                  <wp:positionV relativeFrom="paragraph">
                    <wp:posOffset>88900</wp:posOffset>
                  </wp:positionV>
                  <wp:extent cx="2571750" cy="2503170"/>
                  <wp:effectExtent l="0" t="0" r="0" b="11430"/>
                  <wp:wrapTopAndBottom/>
                  <wp:docPr id="24" name="图片 24" descr="IMG_20251010_11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1010_115345"/>
                          <pic:cNvPicPr>
                            <a:picLocks noChangeAspect="1"/>
                          </pic:cNvPicPr>
                        </pic:nvPicPr>
                        <pic:blipFill>
                          <a:blip r:embed="rId18"/>
                          <a:stretch>
                            <a:fillRect/>
                          </a:stretch>
                        </pic:blipFill>
                        <pic:spPr>
                          <a:xfrm>
                            <a:off x="0" y="0"/>
                            <a:ext cx="2571750" cy="2503170"/>
                          </a:xfrm>
                          <a:prstGeom prst="rect">
                            <a:avLst/>
                          </a:prstGeom>
                        </pic:spPr>
                      </pic:pic>
                    </a:graphicData>
                  </a:graphic>
                </wp:anchor>
              </w:drawing>
            </w:r>
          </w:p>
        </w:tc>
      </w:tr>
      <w:tr w14:paraId="74DB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0BDD16AD">
            <w:pPr>
              <w:pStyle w:val="22"/>
              <w:spacing w:line="300" w:lineRule="exact"/>
              <w:ind w:firstLine="0" w:firstLineChars="0"/>
              <w:jc w:val="center"/>
              <w:rPr>
                <w:rFonts w:hint="eastAsia" w:ascii="宋体" w:hAnsi="宋体"/>
                <w:sz w:val="21"/>
                <w:szCs w:val="21"/>
                <w:lang w:val="en-US" w:eastAsia="zh-CN"/>
              </w:rPr>
            </w:pPr>
          </w:p>
        </w:tc>
        <w:tc>
          <w:tcPr>
            <w:tcW w:w="1554" w:type="dxa"/>
            <w:noWrap w:val="0"/>
            <w:vAlign w:val="center"/>
          </w:tcPr>
          <w:p w14:paraId="77346500">
            <w:pPr>
              <w:pStyle w:val="22"/>
              <w:spacing w:line="300" w:lineRule="exact"/>
              <w:ind w:firstLine="0" w:firstLineChars="0"/>
              <w:jc w:val="center"/>
              <w:rPr>
                <w:rFonts w:hint="eastAsia" w:ascii="宋体" w:hAnsi="宋体"/>
                <w:sz w:val="21"/>
                <w:szCs w:val="21"/>
                <w:lang w:val="en-US" w:eastAsia="zh-CN"/>
              </w:rPr>
            </w:pPr>
            <w:r>
              <w:rPr>
                <w:rFonts w:hint="default" w:ascii="宋体" w:hAnsi="宋体"/>
                <w:sz w:val="21"/>
                <w:szCs w:val="21"/>
                <w:lang w:val="en-US" w:eastAsia="zh-CN"/>
              </w:rPr>
              <w:t>取水</w:t>
            </w:r>
            <w:r>
              <w:rPr>
                <w:rFonts w:hint="eastAsia" w:ascii="宋体" w:hAnsi="宋体"/>
                <w:sz w:val="21"/>
                <w:szCs w:val="21"/>
                <w:lang w:val="en-US" w:eastAsia="zh-CN"/>
              </w:rPr>
              <w:t>路线中间沉淀池</w:t>
            </w:r>
          </w:p>
        </w:tc>
        <w:tc>
          <w:tcPr>
            <w:tcW w:w="5846" w:type="dxa"/>
            <w:noWrap w:val="0"/>
            <w:vAlign w:val="center"/>
          </w:tcPr>
          <w:p w14:paraId="19C7944C">
            <w:pPr>
              <w:pStyle w:val="22"/>
              <w:spacing w:line="300" w:lineRule="exact"/>
              <w:ind w:firstLine="0" w:firstLineChars="0"/>
              <w:jc w:val="center"/>
              <w:rPr>
                <w:rFonts w:hint="eastAsia"/>
                <w:lang w:val="en-US" w:eastAsia="zh-CN"/>
              </w:rPr>
            </w:pPr>
            <w:r>
              <w:drawing>
                <wp:anchor distT="0" distB="0" distL="114300" distR="114300" simplePos="0" relativeHeight="251667456" behindDoc="0" locked="0" layoutInCell="1" allowOverlap="1">
                  <wp:simplePos x="0" y="0"/>
                  <wp:positionH relativeFrom="column">
                    <wp:posOffset>308610</wp:posOffset>
                  </wp:positionH>
                  <wp:positionV relativeFrom="paragraph">
                    <wp:posOffset>-1044575</wp:posOffset>
                  </wp:positionV>
                  <wp:extent cx="2840990" cy="2196465"/>
                  <wp:effectExtent l="0" t="0" r="16510" b="13335"/>
                  <wp:wrapTopAndBottom/>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9"/>
                          <a:stretch>
                            <a:fillRect/>
                          </a:stretch>
                        </pic:blipFill>
                        <pic:spPr>
                          <a:xfrm>
                            <a:off x="0" y="0"/>
                            <a:ext cx="2840990" cy="2196465"/>
                          </a:xfrm>
                          <a:prstGeom prst="rect">
                            <a:avLst/>
                          </a:prstGeom>
                          <a:noFill/>
                          <a:ln>
                            <a:noFill/>
                          </a:ln>
                        </pic:spPr>
                      </pic:pic>
                    </a:graphicData>
                  </a:graphic>
                </wp:anchor>
              </w:drawing>
            </w:r>
          </w:p>
        </w:tc>
      </w:tr>
      <w:tr w14:paraId="6E5E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4F387E88">
            <w:pPr>
              <w:pStyle w:val="22"/>
              <w:spacing w:line="300" w:lineRule="exact"/>
              <w:ind w:firstLine="0" w:firstLineChars="0"/>
              <w:jc w:val="center"/>
              <w:rPr>
                <w:rFonts w:hint="eastAsia" w:ascii="宋体" w:hAnsi="宋体"/>
                <w:sz w:val="21"/>
                <w:szCs w:val="21"/>
                <w:lang w:val="en-US" w:eastAsia="zh-CN"/>
              </w:rPr>
            </w:pPr>
          </w:p>
        </w:tc>
        <w:tc>
          <w:tcPr>
            <w:tcW w:w="1554" w:type="dxa"/>
            <w:noWrap w:val="0"/>
            <w:vAlign w:val="center"/>
          </w:tcPr>
          <w:p w14:paraId="2F3B1CA9">
            <w:pPr>
              <w:pStyle w:val="22"/>
              <w:spacing w:line="300" w:lineRule="exact"/>
              <w:ind w:firstLine="0" w:firstLineChars="0"/>
              <w:jc w:val="center"/>
              <w:rPr>
                <w:rFonts w:hint="eastAsia" w:ascii="宋体" w:hAnsi="宋体"/>
                <w:sz w:val="21"/>
                <w:szCs w:val="21"/>
                <w:lang w:val="en-US" w:eastAsia="zh-CN"/>
              </w:rPr>
            </w:pPr>
            <w:r>
              <w:rPr>
                <w:rFonts w:hint="default" w:ascii="宋体" w:hAnsi="宋体"/>
                <w:sz w:val="21"/>
                <w:szCs w:val="21"/>
                <w:lang w:val="en-US" w:eastAsia="zh-CN"/>
              </w:rPr>
              <w:t>取水点</w:t>
            </w:r>
            <w:r>
              <w:rPr>
                <w:rFonts w:hint="eastAsia" w:ascii="宋体" w:hAnsi="宋体"/>
                <w:sz w:val="21"/>
                <w:szCs w:val="21"/>
                <w:lang w:val="en-US" w:eastAsia="zh-CN"/>
              </w:rPr>
              <w:t>河道上游</w:t>
            </w:r>
          </w:p>
        </w:tc>
        <w:tc>
          <w:tcPr>
            <w:tcW w:w="5846" w:type="dxa"/>
            <w:noWrap w:val="0"/>
            <w:vAlign w:val="center"/>
          </w:tcPr>
          <w:p w14:paraId="335ED395">
            <w:pPr>
              <w:pStyle w:val="22"/>
              <w:spacing w:line="300" w:lineRule="exact"/>
              <w:ind w:firstLine="0" w:firstLineChars="0"/>
              <w:jc w:val="center"/>
              <w:rPr>
                <w:rFonts w:hint="eastAsia"/>
                <w:lang w:val="en-US" w:eastAsia="zh-CN"/>
              </w:rPr>
            </w:pPr>
            <w:r>
              <w:drawing>
                <wp:anchor distT="0" distB="0" distL="114300" distR="114300" simplePos="0" relativeHeight="251668480" behindDoc="0" locked="0" layoutInCell="1" allowOverlap="1">
                  <wp:simplePos x="0" y="0"/>
                  <wp:positionH relativeFrom="column">
                    <wp:posOffset>308610</wp:posOffset>
                  </wp:positionH>
                  <wp:positionV relativeFrom="paragraph">
                    <wp:posOffset>-1006475</wp:posOffset>
                  </wp:positionV>
                  <wp:extent cx="2842260" cy="2119630"/>
                  <wp:effectExtent l="0" t="0" r="15240" b="13970"/>
                  <wp:wrapTopAndBottom/>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0"/>
                          <a:stretch>
                            <a:fillRect/>
                          </a:stretch>
                        </pic:blipFill>
                        <pic:spPr>
                          <a:xfrm>
                            <a:off x="0" y="0"/>
                            <a:ext cx="2842260" cy="2119630"/>
                          </a:xfrm>
                          <a:prstGeom prst="rect">
                            <a:avLst/>
                          </a:prstGeom>
                          <a:noFill/>
                          <a:ln>
                            <a:noFill/>
                          </a:ln>
                        </pic:spPr>
                      </pic:pic>
                    </a:graphicData>
                  </a:graphic>
                </wp:anchor>
              </w:drawing>
            </w:r>
          </w:p>
        </w:tc>
      </w:tr>
      <w:tr w14:paraId="50EB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restart"/>
            <w:noWrap w:val="0"/>
            <w:vAlign w:val="center"/>
          </w:tcPr>
          <w:p w14:paraId="338BD628">
            <w:pPr>
              <w:pStyle w:val="22"/>
              <w:spacing w:line="300" w:lineRule="exact"/>
              <w:ind w:firstLine="0" w:firstLineChars="0"/>
              <w:jc w:val="center"/>
              <w:rPr>
                <w:rFonts w:hint="eastAsia" w:ascii="宋体" w:hAnsi="宋体"/>
                <w:sz w:val="21"/>
                <w:szCs w:val="21"/>
                <w:lang w:val="en-US" w:eastAsia="zh-CN"/>
              </w:rPr>
            </w:pPr>
            <w:r>
              <w:rPr>
                <w:rFonts w:hint="eastAsia" w:ascii="宋体" w:hAnsi="宋体"/>
                <w:sz w:val="21"/>
                <w:szCs w:val="21"/>
                <w:lang w:val="en-US" w:eastAsia="zh-CN"/>
              </w:rPr>
              <w:t>开州区五通乡老林沟饮用水源地</w:t>
            </w:r>
          </w:p>
        </w:tc>
        <w:tc>
          <w:tcPr>
            <w:tcW w:w="1554" w:type="dxa"/>
            <w:noWrap w:val="0"/>
            <w:vAlign w:val="center"/>
          </w:tcPr>
          <w:p w14:paraId="0619A171">
            <w:pPr>
              <w:pStyle w:val="22"/>
              <w:spacing w:line="300" w:lineRule="exact"/>
              <w:ind w:firstLine="0" w:firstLineChars="0"/>
              <w:jc w:val="center"/>
              <w:rPr>
                <w:rFonts w:hint="default" w:ascii="宋体" w:hAnsi="宋体"/>
                <w:sz w:val="21"/>
                <w:szCs w:val="21"/>
                <w:lang w:val="en-US" w:eastAsia="zh-CN"/>
              </w:rPr>
            </w:pPr>
            <w:r>
              <w:rPr>
                <w:rFonts w:hint="default" w:ascii="宋体" w:hAnsi="宋体"/>
                <w:sz w:val="21"/>
                <w:szCs w:val="21"/>
                <w:lang w:val="en-US" w:eastAsia="zh-CN"/>
              </w:rPr>
              <w:t>取水点</w:t>
            </w:r>
            <w:r>
              <w:rPr>
                <w:rFonts w:hint="eastAsia" w:ascii="宋体" w:hAnsi="宋体"/>
                <w:sz w:val="21"/>
                <w:szCs w:val="21"/>
                <w:lang w:val="en-US" w:eastAsia="zh-CN"/>
              </w:rPr>
              <w:t>河道下游</w:t>
            </w:r>
          </w:p>
        </w:tc>
        <w:tc>
          <w:tcPr>
            <w:tcW w:w="5846" w:type="dxa"/>
            <w:noWrap w:val="0"/>
            <w:vAlign w:val="center"/>
          </w:tcPr>
          <w:p w14:paraId="4F29CBD5">
            <w:pPr>
              <w:pStyle w:val="22"/>
              <w:spacing w:line="300" w:lineRule="exact"/>
              <w:ind w:firstLine="0" w:firstLineChars="0"/>
              <w:jc w:val="center"/>
            </w:pPr>
            <w:r>
              <w:drawing>
                <wp:anchor distT="0" distB="0" distL="114300" distR="114300" simplePos="0" relativeHeight="251670528" behindDoc="0" locked="0" layoutInCell="1" allowOverlap="1">
                  <wp:simplePos x="0" y="0"/>
                  <wp:positionH relativeFrom="column">
                    <wp:posOffset>251460</wp:posOffset>
                  </wp:positionH>
                  <wp:positionV relativeFrom="paragraph">
                    <wp:posOffset>-130175</wp:posOffset>
                  </wp:positionV>
                  <wp:extent cx="2845435" cy="2003425"/>
                  <wp:effectExtent l="0" t="0" r="12065" b="15875"/>
                  <wp:wrapTopAndBottom/>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1"/>
                          <a:stretch>
                            <a:fillRect/>
                          </a:stretch>
                        </pic:blipFill>
                        <pic:spPr>
                          <a:xfrm>
                            <a:off x="0" y="0"/>
                            <a:ext cx="2845435" cy="2003425"/>
                          </a:xfrm>
                          <a:prstGeom prst="rect">
                            <a:avLst/>
                          </a:prstGeom>
                          <a:noFill/>
                          <a:ln>
                            <a:noFill/>
                          </a:ln>
                        </pic:spPr>
                      </pic:pic>
                    </a:graphicData>
                  </a:graphic>
                </wp:anchor>
              </w:drawing>
            </w:r>
          </w:p>
        </w:tc>
      </w:tr>
      <w:tr w14:paraId="4C83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400E0844">
            <w:pPr>
              <w:pStyle w:val="22"/>
              <w:spacing w:line="300" w:lineRule="exact"/>
              <w:ind w:firstLine="0" w:firstLineChars="0"/>
              <w:jc w:val="center"/>
              <w:rPr>
                <w:rFonts w:hint="eastAsia" w:ascii="宋体" w:hAnsi="宋体"/>
                <w:sz w:val="21"/>
                <w:szCs w:val="21"/>
                <w:lang w:val="en-US" w:eastAsia="zh-CN"/>
              </w:rPr>
            </w:pPr>
          </w:p>
        </w:tc>
        <w:tc>
          <w:tcPr>
            <w:tcW w:w="1554" w:type="dxa"/>
            <w:noWrap w:val="0"/>
            <w:vAlign w:val="center"/>
          </w:tcPr>
          <w:p w14:paraId="08A13F73">
            <w:pPr>
              <w:pStyle w:val="22"/>
              <w:spacing w:line="300" w:lineRule="exact"/>
              <w:ind w:firstLine="0" w:firstLineChars="0"/>
              <w:jc w:val="center"/>
              <w:rPr>
                <w:rFonts w:hint="default" w:ascii="宋体" w:hAnsi="宋体"/>
                <w:sz w:val="21"/>
                <w:szCs w:val="21"/>
                <w:lang w:val="en-US" w:eastAsia="zh-CN"/>
              </w:rPr>
            </w:pPr>
            <w:r>
              <w:rPr>
                <w:rFonts w:hint="eastAsia" w:ascii="宋体" w:hAnsi="宋体"/>
                <w:sz w:val="21"/>
                <w:szCs w:val="21"/>
                <w:lang w:val="en-US" w:eastAsia="zh-CN"/>
              </w:rPr>
              <w:t>饮用水保护范围示意图</w:t>
            </w:r>
          </w:p>
        </w:tc>
        <w:tc>
          <w:tcPr>
            <w:tcW w:w="5846" w:type="dxa"/>
            <w:noWrap w:val="0"/>
            <w:vAlign w:val="center"/>
          </w:tcPr>
          <w:p w14:paraId="4921B0F3">
            <w:pPr>
              <w:pStyle w:val="22"/>
              <w:spacing w:line="300" w:lineRule="exact"/>
              <w:ind w:firstLine="0" w:firstLineChars="0"/>
              <w:jc w:val="center"/>
              <w:rPr>
                <w:rFonts w:hint="eastAsia" w:eastAsiaTheme="minorEastAsia"/>
                <w:lang w:eastAsia="zh-CN"/>
              </w:rPr>
            </w:pP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13335</wp:posOffset>
                  </wp:positionH>
                  <wp:positionV relativeFrom="paragraph">
                    <wp:posOffset>107950</wp:posOffset>
                  </wp:positionV>
                  <wp:extent cx="3447415" cy="4596130"/>
                  <wp:effectExtent l="0" t="0" r="635" b="13970"/>
                  <wp:wrapTopAndBottom/>
                  <wp:docPr id="21" name="图片 21" descr="IMG_20251010_11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1010_115437"/>
                          <pic:cNvPicPr>
                            <a:picLocks noChangeAspect="1"/>
                          </pic:cNvPicPr>
                        </pic:nvPicPr>
                        <pic:blipFill>
                          <a:blip r:embed="rId22"/>
                          <a:stretch>
                            <a:fillRect/>
                          </a:stretch>
                        </pic:blipFill>
                        <pic:spPr>
                          <a:xfrm>
                            <a:off x="0" y="0"/>
                            <a:ext cx="3447415" cy="4596130"/>
                          </a:xfrm>
                          <a:prstGeom prst="rect">
                            <a:avLst/>
                          </a:prstGeom>
                        </pic:spPr>
                      </pic:pic>
                    </a:graphicData>
                  </a:graphic>
                </wp:anchor>
              </w:drawing>
            </w:r>
          </w:p>
        </w:tc>
      </w:tr>
    </w:tbl>
    <w:p w14:paraId="492AB381">
      <w:pPr>
        <w:spacing w:line="52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2</w:t>
      </w:r>
      <w:r>
        <w:rPr>
          <w:rFonts w:hint="eastAsia" w:ascii="宋体" w:hAnsi="宋体"/>
          <w:sz w:val="28"/>
          <w:szCs w:val="28"/>
          <w:lang w:eastAsia="zh-CN"/>
        </w:rPr>
        <w:t>）</w:t>
      </w:r>
      <w:r>
        <w:rPr>
          <w:rFonts w:hint="eastAsia" w:ascii="宋体" w:hAnsi="宋体"/>
          <w:sz w:val="28"/>
          <w:szCs w:val="28"/>
        </w:rPr>
        <w:t>饮用水源地保护区重点保护工程情况</w:t>
      </w:r>
    </w:p>
    <w:p w14:paraId="5A4EFE4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469B7E8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五通乡老林沟水源地已根据《饮用水水源保护区标志技术要求（HJ／T_433-2008）》的要求设置一级、二级保护区边界界标、界桩等。水源保护区一、二级保护区内没有交通道路穿越，不需设置道路警示牌；在下游上山公路处设置保护区宣传牌，开州区五通乡老林沟水源地人为活动较少，有部分可利用的天然地形地貌隔离，并设置明显的具有保护性功能的隔离防护措施。</w:t>
      </w:r>
    </w:p>
    <w:p w14:paraId="6B8C34E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2）监控能力建设情况</w:t>
      </w:r>
    </w:p>
    <w:p w14:paraId="648F097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根据现场调查，水源地下游的浦里河赵家桥设置有监测断面，由重庆市开州区生态环境监测中心对设置断面水质进行定期监测。</w:t>
      </w:r>
    </w:p>
    <w:p w14:paraId="55536DC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根据现场调查，水源地在取水口处设置有视频监控。</w:t>
      </w:r>
    </w:p>
    <w:p w14:paraId="06AF636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3）风险防控与应急能力建设情况</w:t>
      </w:r>
    </w:p>
    <w:p w14:paraId="5EF772E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①风险识别与防范</w:t>
      </w:r>
    </w:p>
    <w:p w14:paraId="0A49FF4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w:t>
      </w:r>
      <w:r>
        <w:rPr>
          <w:rFonts w:hint="eastAsia" w:cs="宋体"/>
          <w:color w:val="auto"/>
          <w:sz w:val="28"/>
          <w:szCs w:val="28"/>
          <w:lang w:val="en-US" w:eastAsia="zh-CN"/>
        </w:rPr>
        <w:t>五通水厂</w:t>
      </w:r>
      <w:r>
        <w:rPr>
          <w:rFonts w:hint="eastAsia" w:ascii="宋体" w:hAnsi="宋体" w:eastAsia="宋体" w:cs="宋体"/>
          <w:color w:val="auto"/>
          <w:sz w:val="28"/>
          <w:szCs w:val="28"/>
          <w:lang w:val="en-US" w:eastAsia="zh-CN"/>
        </w:rPr>
        <w:t>集中式饮用水水源地上游及周边存在风险源，主要包括农村居民生活、农田灌溉、家禽养殖等，水源地尚未建立风险源名录和危险化学品运输管理制度。</w:t>
      </w:r>
    </w:p>
    <w:p w14:paraId="7FD17B1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②应急能力</w:t>
      </w:r>
    </w:p>
    <w:p w14:paraId="17AAE2F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w:t>
      </w:r>
      <w:r>
        <w:rPr>
          <w:rFonts w:hint="eastAsia" w:cs="宋体"/>
          <w:color w:val="auto"/>
          <w:sz w:val="28"/>
          <w:szCs w:val="28"/>
          <w:lang w:val="en-US" w:eastAsia="zh-CN"/>
        </w:rPr>
        <w:t>五通水厂</w:t>
      </w:r>
      <w:r>
        <w:rPr>
          <w:rFonts w:hint="eastAsia" w:ascii="宋体" w:hAnsi="宋体" w:eastAsia="宋体" w:cs="宋体"/>
          <w:color w:val="auto"/>
          <w:sz w:val="28"/>
          <w:szCs w:val="28"/>
          <w:lang w:val="en-US" w:eastAsia="zh-CN"/>
        </w:rPr>
        <w:t>饮用水水源地已具备应急预案、救济物资、技术储备、应急防护工程设施、应急专家队伍等相应应急能力。</w:t>
      </w:r>
    </w:p>
    <w:p w14:paraId="524C993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4）水源地一源一档建设</w:t>
      </w:r>
    </w:p>
    <w:p w14:paraId="144CCC8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据调查了解，该水源地已进行资料汇编，建立《重庆市开州区</w:t>
      </w:r>
      <w:r>
        <w:rPr>
          <w:rFonts w:hint="eastAsia" w:cs="宋体"/>
          <w:color w:val="auto"/>
          <w:sz w:val="28"/>
          <w:szCs w:val="28"/>
          <w:lang w:val="en-US" w:eastAsia="zh-CN"/>
        </w:rPr>
        <w:t>五通水厂</w:t>
      </w:r>
      <w:r>
        <w:rPr>
          <w:rFonts w:hint="eastAsia" w:ascii="宋体" w:hAnsi="宋体" w:eastAsia="宋体" w:cs="宋体"/>
          <w:color w:val="auto"/>
          <w:sz w:val="28"/>
          <w:szCs w:val="28"/>
          <w:lang w:val="en-US" w:eastAsia="zh-CN"/>
        </w:rPr>
        <w:t>饮用水水源地一源一档》。</w:t>
      </w:r>
    </w:p>
    <w:p w14:paraId="08A8D0F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汇编资料如下表所示。</w:t>
      </w:r>
      <w:bookmarkStart w:id="31" w:name="_Ref524336654"/>
    </w:p>
    <w:p w14:paraId="6C3FDDE4">
      <w:pPr>
        <w:pStyle w:val="22"/>
        <w:spacing w:line="520" w:lineRule="exact"/>
        <w:ind w:firstLine="0" w:firstLineChars="0"/>
        <w:jc w:val="center"/>
        <w:rPr>
          <w:rFonts w:hint="eastAsia" w:ascii="宋体" w:hAnsi="宋体"/>
          <w:b/>
          <w:bCs/>
          <w:sz w:val="24"/>
          <w:lang w:val="en-US" w:eastAsia="zh-CN"/>
        </w:rPr>
      </w:pPr>
      <w:r>
        <w:rPr>
          <w:rFonts w:hint="eastAsia" w:ascii="宋体" w:hAnsi="宋体"/>
          <w:b/>
          <w:bCs/>
          <w:sz w:val="24"/>
          <w:lang w:val="en-US" w:eastAsia="zh-CN"/>
        </w:rPr>
        <w:t>表</w:t>
      </w:r>
      <w:bookmarkEnd w:id="31"/>
      <w:r>
        <w:rPr>
          <w:rFonts w:hint="eastAsia" w:ascii="宋体" w:hAnsi="宋体"/>
          <w:b/>
          <w:bCs/>
          <w:sz w:val="24"/>
          <w:lang w:val="en-US" w:eastAsia="zh-CN"/>
        </w:rPr>
        <w:t xml:space="preserve"> 2.3-2 开州区五通乡老林沟水源地一源一档资料</w:t>
      </w:r>
    </w:p>
    <w:tbl>
      <w:tblPr>
        <w:tblStyle w:val="16"/>
        <w:tblW w:w="850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5"/>
        <w:gridCol w:w="5429"/>
        <w:gridCol w:w="2380"/>
      </w:tblGrid>
      <w:tr w14:paraId="26C2F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0" w:type="dxa"/>
            <w:noWrap w:val="0"/>
            <w:vAlign w:val="center"/>
          </w:tcPr>
          <w:p w14:paraId="7EF7AA3D">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序号</w:t>
            </w:r>
          </w:p>
        </w:tc>
        <w:tc>
          <w:tcPr>
            <w:tcW w:w="5596" w:type="dxa"/>
            <w:noWrap w:val="0"/>
            <w:vAlign w:val="center"/>
          </w:tcPr>
          <w:p w14:paraId="173C6C2B">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文件材料题名</w:t>
            </w:r>
          </w:p>
        </w:tc>
        <w:tc>
          <w:tcPr>
            <w:tcW w:w="2449" w:type="dxa"/>
            <w:noWrap w:val="0"/>
            <w:vAlign w:val="center"/>
          </w:tcPr>
          <w:p w14:paraId="16FAC2D2">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备注</w:t>
            </w:r>
          </w:p>
        </w:tc>
      </w:tr>
      <w:tr w14:paraId="6DDF3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BAFBFDA">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1</w:t>
            </w:r>
          </w:p>
        </w:tc>
        <w:tc>
          <w:tcPr>
            <w:tcW w:w="5596" w:type="dxa"/>
            <w:noWrap w:val="0"/>
            <w:vAlign w:val="center"/>
          </w:tcPr>
          <w:p w14:paraId="0FD8B9F8">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Ansi="宋体"/>
                <w:sz w:val="21"/>
                <w:szCs w:val="21"/>
              </w:rPr>
              <w:t>《重庆市人民政府办公厅关于调整万州区等</w:t>
            </w:r>
            <w:r>
              <w:rPr>
                <w:sz w:val="21"/>
                <w:szCs w:val="21"/>
              </w:rPr>
              <w:t>36</w:t>
            </w:r>
            <w:r>
              <w:rPr>
                <w:rFonts w:hAnsi="宋体"/>
                <w:sz w:val="21"/>
                <w:szCs w:val="21"/>
              </w:rPr>
              <w:t>个区县（自治县）集中式饮用水水源保护区的通知》</w:t>
            </w:r>
          </w:p>
        </w:tc>
        <w:tc>
          <w:tcPr>
            <w:tcW w:w="2449" w:type="dxa"/>
            <w:noWrap w:val="0"/>
            <w:vAlign w:val="center"/>
          </w:tcPr>
          <w:p w14:paraId="0685D354">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渝府办</w:t>
            </w:r>
            <w:r>
              <w:rPr>
                <w:sz w:val="21"/>
                <w:szCs w:val="21"/>
              </w:rPr>
              <w:t>[2016]19</w:t>
            </w:r>
            <w:r>
              <w:rPr>
                <w:rFonts w:hAnsi="宋体"/>
                <w:sz w:val="21"/>
                <w:szCs w:val="21"/>
              </w:rPr>
              <w:t>号</w:t>
            </w:r>
          </w:p>
        </w:tc>
      </w:tr>
      <w:tr w14:paraId="1E8E9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47B1677">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2</w:t>
            </w:r>
          </w:p>
        </w:tc>
        <w:tc>
          <w:tcPr>
            <w:tcW w:w="5596" w:type="dxa"/>
            <w:noWrap w:val="0"/>
            <w:vAlign w:val="center"/>
          </w:tcPr>
          <w:p w14:paraId="49E93EDD">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Ansi="宋体"/>
                <w:sz w:val="21"/>
                <w:szCs w:val="21"/>
              </w:rPr>
              <w:t>《</w:t>
            </w:r>
            <w:r>
              <w:rPr>
                <w:rFonts w:hint="eastAsia" w:hAnsi="宋体"/>
                <w:sz w:val="21"/>
                <w:szCs w:val="21"/>
              </w:rPr>
              <w:t>重庆市人民政府办公厅关于 印发万州区等区县（开发区）集中式饮用水水源地保护区划分及调整方案的通知</w:t>
            </w:r>
            <w:r>
              <w:rPr>
                <w:rFonts w:hAnsi="宋体"/>
                <w:sz w:val="21"/>
                <w:szCs w:val="21"/>
              </w:rPr>
              <w:t>》</w:t>
            </w:r>
          </w:p>
        </w:tc>
        <w:tc>
          <w:tcPr>
            <w:tcW w:w="2449" w:type="dxa"/>
            <w:noWrap w:val="0"/>
            <w:vAlign w:val="center"/>
          </w:tcPr>
          <w:p w14:paraId="729614AD">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int="eastAsia" w:hAnsi="宋体"/>
                <w:sz w:val="21"/>
                <w:szCs w:val="21"/>
              </w:rPr>
              <w:t>渝府办[2018]7号</w:t>
            </w:r>
          </w:p>
        </w:tc>
      </w:tr>
      <w:tr w14:paraId="0295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65580C8C">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3</w:t>
            </w:r>
          </w:p>
        </w:tc>
        <w:tc>
          <w:tcPr>
            <w:tcW w:w="5596" w:type="dxa"/>
            <w:noWrap w:val="0"/>
            <w:vAlign w:val="center"/>
          </w:tcPr>
          <w:p w14:paraId="4620F38C">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rFonts w:hAnsi="宋体"/>
                <w:sz w:val="21"/>
                <w:szCs w:val="21"/>
              </w:rPr>
            </w:pPr>
            <w:r>
              <w:rPr>
                <w:rFonts w:hint="eastAsia" w:hAnsi="宋体"/>
                <w:sz w:val="21"/>
                <w:szCs w:val="21"/>
              </w:rPr>
              <w:t>《重庆市开州区环境保护局关于进一步加强乡镇集中式饮用水水源地管理的通知》</w:t>
            </w:r>
          </w:p>
        </w:tc>
        <w:tc>
          <w:tcPr>
            <w:tcW w:w="2449" w:type="dxa"/>
            <w:noWrap w:val="0"/>
            <w:vAlign w:val="center"/>
          </w:tcPr>
          <w:p w14:paraId="3E1BAB4D">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开州环发〔2017〕75号</w:t>
            </w:r>
          </w:p>
        </w:tc>
      </w:tr>
      <w:tr w14:paraId="7EB8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63A4CBEC">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4</w:t>
            </w:r>
          </w:p>
        </w:tc>
        <w:tc>
          <w:tcPr>
            <w:tcW w:w="5596" w:type="dxa"/>
            <w:noWrap w:val="0"/>
            <w:vAlign w:val="center"/>
          </w:tcPr>
          <w:p w14:paraId="42D3E3EB">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Ansi="宋体"/>
                <w:sz w:val="21"/>
                <w:szCs w:val="21"/>
              </w:rPr>
              <w:t>重庆市</w:t>
            </w:r>
            <w:r>
              <w:rPr>
                <w:rFonts w:hint="eastAsia" w:hAnsi="宋体"/>
                <w:sz w:val="21"/>
                <w:szCs w:val="21"/>
                <w:lang w:eastAsia="zh-CN"/>
              </w:rPr>
              <w:t>开州区五通乡老林沟饮用水源地</w:t>
            </w:r>
            <w:r>
              <w:rPr>
                <w:rFonts w:hAnsi="宋体"/>
                <w:sz w:val="21"/>
                <w:szCs w:val="21"/>
              </w:rPr>
              <w:t>标示标牌相关情况</w:t>
            </w:r>
          </w:p>
        </w:tc>
        <w:tc>
          <w:tcPr>
            <w:tcW w:w="2449" w:type="dxa"/>
            <w:noWrap w:val="0"/>
            <w:vAlign w:val="center"/>
          </w:tcPr>
          <w:p w14:paraId="7F52F0E3">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标示标牌</w:t>
            </w:r>
          </w:p>
        </w:tc>
      </w:tr>
      <w:tr w14:paraId="3A149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4A217C2C">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5</w:t>
            </w:r>
          </w:p>
        </w:tc>
        <w:tc>
          <w:tcPr>
            <w:tcW w:w="5596" w:type="dxa"/>
            <w:noWrap w:val="0"/>
            <w:vAlign w:val="center"/>
          </w:tcPr>
          <w:p w14:paraId="3F14ED69">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int="eastAsia" w:hAnsi="宋体"/>
                <w:sz w:val="21"/>
                <w:szCs w:val="21"/>
                <w:lang w:eastAsia="zh-CN"/>
              </w:rPr>
              <w:t>五通乡</w:t>
            </w:r>
            <w:r>
              <w:rPr>
                <w:rFonts w:hAnsi="宋体"/>
                <w:sz w:val="21"/>
                <w:szCs w:val="21"/>
              </w:rPr>
              <w:t>饮用水源保护区巡查记录表</w:t>
            </w:r>
          </w:p>
        </w:tc>
        <w:tc>
          <w:tcPr>
            <w:tcW w:w="2449" w:type="dxa"/>
            <w:noWrap w:val="0"/>
            <w:vAlign w:val="center"/>
          </w:tcPr>
          <w:p w14:paraId="3BC7B12A">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int="eastAsia" w:hAnsi="宋体"/>
                <w:sz w:val="21"/>
                <w:szCs w:val="21"/>
                <w:lang w:eastAsia="zh-CN"/>
              </w:rPr>
              <w:t>五通乡</w:t>
            </w:r>
            <w:r>
              <w:rPr>
                <w:rFonts w:hint="eastAsia" w:hAnsi="宋体"/>
                <w:sz w:val="21"/>
                <w:szCs w:val="21"/>
              </w:rPr>
              <w:t>政府</w:t>
            </w:r>
          </w:p>
        </w:tc>
      </w:tr>
      <w:tr w14:paraId="23B9C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00F1A2DF">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6</w:t>
            </w:r>
          </w:p>
        </w:tc>
        <w:tc>
          <w:tcPr>
            <w:tcW w:w="5596" w:type="dxa"/>
            <w:noWrap w:val="0"/>
            <w:vAlign w:val="center"/>
          </w:tcPr>
          <w:p w14:paraId="4F82AEF2">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Ansi="宋体"/>
                <w:sz w:val="21"/>
                <w:szCs w:val="21"/>
              </w:rPr>
              <w:t>重庆市</w:t>
            </w:r>
            <w:r>
              <w:rPr>
                <w:rFonts w:hint="eastAsia" w:hAnsi="宋体"/>
                <w:sz w:val="21"/>
                <w:szCs w:val="21"/>
                <w:lang w:eastAsia="zh-CN"/>
              </w:rPr>
              <w:t>五通乡</w:t>
            </w:r>
            <w:r>
              <w:rPr>
                <w:rFonts w:hint="eastAsia" w:hAnsi="宋体"/>
                <w:sz w:val="21"/>
                <w:szCs w:val="21"/>
              </w:rPr>
              <w:t>环保办</w:t>
            </w:r>
            <w:r>
              <w:rPr>
                <w:rFonts w:hAnsi="宋体"/>
                <w:sz w:val="21"/>
                <w:szCs w:val="21"/>
              </w:rPr>
              <w:t>现场监察记录单</w:t>
            </w:r>
          </w:p>
        </w:tc>
        <w:tc>
          <w:tcPr>
            <w:tcW w:w="2449" w:type="dxa"/>
            <w:noWrap w:val="0"/>
            <w:vAlign w:val="center"/>
          </w:tcPr>
          <w:p w14:paraId="717E1F4D">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水厂巡查记录</w:t>
            </w:r>
          </w:p>
        </w:tc>
      </w:tr>
      <w:tr w14:paraId="0C3D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5D7927FE">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7</w:t>
            </w:r>
          </w:p>
        </w:tc>
        <w:tc>
          <w:tcPr>
            <w:tcW w:w="5596" w:type="dxa"/>
            <w:noWrap w:val="0"/>
            <w:vAlign w:val="center"/>
          </w:tcPr>
          <w:p w14:paraId="7009BA3F">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int="eastAsia" w:hAnsi="宋体"/>
                <w:sz w:val="21"/>
                <w:szCs w:val="21"/>
                <w:lang w:eastAsia="zh-CN"/>
              </w:rPr>
              <w:t>五通乡</w:t>
            </w:r>
            <w:r>
              <w:rPr>
                <w:rFonts w:hAnsi="宋体"/>
                <w:sz w:val="21"/>
                <w:szCs w:val="21"/>
              </w:rPr>
              <w:t>饮用水源保护区巡查记录表</w:t>
            </w:r>
          </w:p>
        </w:tc>
        <w:tc>
          <w:tcPr>
            <w:tcW w:w="2449" w:type="dxa"/>
            <w:noWrap w:val="0"/>
            <w:vAlign w:val="center"/>
          </w:tcPr>
          <w:p w14:paraId="59B8BC39">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生态环境局巡查记录</w:t>
            </w:r>
          </w:p>
        </w:tc>
      </w:tr>
      <w:tr w14:paraId="31EB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1D989D0D">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8</w:t>
            </w:r>
          </w:p>
        </w:tc>
        <w:tc>
          <w:tcPr>
            <w:tcW w:w="5596" w:type="dxa"/>
            <w:noWrap w:val="0"/>
            <w:vAlign w:val="center"/>
          </w:tcPr>
          <w:p w14:paraId="6984E8F2">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Ansi="宋体"/>
                <w:sz w:val="21"/>
                <w:szCs w:val="21"/>
              </w:rPr>
              <w:t>《</w:t>
            </w:r>
            <w:r>
              <w:rPr>
                <w:rFonts w:hint="eastAsia" w:hAnsi="宋体"/>
                <w:sz w:val="21"/>
                <w:szCs w:val="21"/>
                <w:lang w:eastAsia="zh-CN"/>
              </w:rPr>
              <w:t>五通乡</w:t>
            </w:r>
            <w:r>
              <w:rPr>
                <w:rFonts w:hint="eastAsia" w:hAnsi="宋体"/>
                <w:sz w:val="21"/>
                <w:szCs w:val="21"/>
              </w:rPr>
              <w:t>人民政府</w:t>
            </w:r>
            <w:r>
              <w:rPr>
                <w:rFonts w:hAnsi="宋体"/>
                <w:sz w:val="21"/>
                <w:szCs w:val="21"/>
              </w:rPr>
              <w:t>应急物资明细》</w:t>
            </w:r>
          </w:p>
        </w:tc>
        <w:tc>
          <w:tcPr>
            <w:tcW w:w="2449" w:type="dxa"/>
            <w:noWrap w:val="0"/>
            <w:vAlign w:val="center"/>
          </w:tcPr>
          <w:p w14:paraId="3B883F80">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rFonts w:hAnsi="宋体"/>
                <w:sz w:val="21"/>
                <w:szCs w:val="21"/>
              </w:rPr>
              <w:t>水源地应急物质、装备、设备储备清单</w:t>
            </w:r>
          </w:p>
        </w:tc>
      </w:tr>
      <w:tr w14:paraId="2DFE7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7B3F84F2">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r>
              <w:rPr>
                <w:sz w:val="21"/>
                <w:szCs w:val="21"/>
              </w:rPr>
              <w:t>9</w:t>
            </w:r>
          </w:p>
        </w:tc>
        <w:tc>
          <w:tcPr>
            <w:tcW w:w="5596" w:type="dxa"/>
            <w:noWrap w:val="0"/>
            <w:vAlign w:val="center"/>
          </w:tcPr>
          <w:p w14:paraId="5E28042B">
            <w:pPr>
              <w:pStyle w:val="23"/>
              <w:keepNext w:val="0"/>
              <w:keepLines w:val="0"/>
              <w:pageBreakBefore w:val="0"/>
              <w:widowControl w:val="0"/>
              <w:kinsoku/>
              <w:wordWrap/>
              <w:overflowPunct/>
              <w:topLinePunct w:val="0"/>
              <w:autoSpaceDE/>
              <w:autoSpaceDN/>
              <w:bidi w:val="0"/>
              <w:adjustRightInd w:val="0"/>
              <w:snapToGrid/>
              <w:spacing w:line="300" w:lineRule="exact"/>
              <w:ind w:firstLine="0"/>
              <w:jc w:val="both"/>
              <w:textAlignment w:val="auto"/>
              <w:rPr>
                <w:sz w:val="21"/>
                <w:szCs w:val="21"/>
              </w:rPr>
            </w:pPr>
            <w:r>
              <w:rPr>
                <w:rFonts w:hAnsi="宋体"/>
                <w:sz w:val="21"/>
                <w:szCs w:val="21"/>
              </w:rPr>
              <w:t>重庆市</w:t>
            </w:r>
            <w:r>
              <w:rPr>
                <w:rFonts w:hint="eastAsia" w:hAnsi="宋体"/>
                <w:sz w:val="21"/>
                <w:szCs w:val="21"/>
              </w:rPr>
              <w:t>开州区</w:t>
            </w:r>
            <w:r>
              <w:rPr>
                <w:rFonts w:hAnsi="宋体"/>
                <w:sz w:val="21"/>
                <w:szCs w:val="21"/>
              </w:rPr>
              <w:t>环境应急专家库名单</w:t>
            </w:r>
          </w:p>
        </w:tc>
        <w:tc>
          <w:tcPr>
            <w:tcW w:w="2449" w:type="dxa"/>
            <w:noWrap w:val="0"/>
            <w:vAlign w:val="center"/>
          </w:tcPr>
          <w:p w14:paraId="285D36BA">
            <w:pPr>
              <w:pStyle w:val="23"/>
              <w:keepNext w:val="0"/>
              <w:keepLines w:val="0"/>
              <w:pageBreakBefore w:val="0"/>
              <w:widowControl w:val="0"/>
              <w:kinsoku/>
              <w:wordWrap/>
              <w:overflowPunct/>
              <w:topLinePunct w:val="0"/>
              <w:autoSpaceDE/>
              <w:autoSpaceDN/>
              <w:bidi w:val="0"/>
              <w:adjustRightInd w:val="0"/>
              <w:snapToGrid/>
              <w:spacing w:line="300" w:lineRule="exact"/>
              <w:ind w:firstLine="0"/>
              <w:textAlignment w:val="auto"/>
              <w:rPr>
                <w:sz w:val="21"/>
                <w:szCs w:val="21"/>
              </w:rPr>
            </w:pPr>
          </w:p>
        </w:tc>
      </w:tr>
    </w:tbl>
    <w:p w14:paraId="348AE2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32" w:name="_Toc8217"/>
      <w:bookmarkStart w:id="33" w:name="_Toc17472"/>
      <w:r>
        <w:rPr>
          <w:rFonts w:hint="eastAsia" w:ascii="宋体" w:hAnsi="宋体" w:eastAsia="宋体" w:cs="宋体"/>
          <w:b/>
          <w:bCs/>
          <w:color w:val="000000"/>
          <w:sz w:val="28"/>
          <w:szCs w:val="28"/>
          <w:lang w:val="en-US" w:eastAsia="zh-CN"/>
        </w:rPr>
        <w:t>2.4 水源地环境风险</w:t>
      </w:r>
      <w:bookmarkEnd w:id="32"/>
      <w:bookmarkEnd w:id="33"/>
    </w:p>
    <w:p w14:paraId="51E3763F">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2.4</w:t>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固定源</w:t>
      </w:r>
    </w:p>
    <w:p w14:paraId="08D7E51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五通乡老林沟水源地一、二级保护区内均无固定风险源，且无涉及水源地上游连接水体及周边汇水区域风险物质生产、加工、使用、储存和运输的企业、向环境排放污染物的企业、加油站加气站、污水处理厂等存在。</w:t>
      </w:r>
    </w:p>
    <w:p w14:paraId="74EBAFC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方正仿宋_GBK" w:hAnsi="方正仿宋_GBK" w:eastAsia="方正仿宋_GBK" w:cs="方正仿宋_GBK"/>
          <w:color w:val="000000"/>
          <w:sz w:val="32"/>
          <w:szCs w:val="32"/>
          <w:lang w:eastAsia="zh-CN"/>
        </w:rPr>
      </w:pPr>
      <w:r>
        <w:rPr>
          <w:rFonts w:hint="eastAsia" w:ascii="宋体" w:hAnsi="宋体" w:eastAsia="宋体" w:cs="宋体"/>
          <w:color w:val="auto"/>
          <w:sz w:val="28"/>
          <w:szCs w:val="28"/>
          <w:lang w:val="en-US" w:eastAsia="zh-CN"/>
        </w:rPr>
        <w:t>综上，五通乡开州区五通乡老林沟水源地无固定污染源存在。</w:t>
      </w:r>
    </w:p>
    <w:p w14:paraId="00DA4B88">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2.4.</w:t>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流动源</w:t>
      </w:r>
    </w:p>
    <w:p w14:paraId="368E6C8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（1）陆路运输</w:t>
      </w:r>
    </w:p>
    <w:p w14:paraId="7906B04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据调查，开州区五通乡老林沟水源地保护区边界向上游连接水体及周边汇水区域上溯24小时流程范围内的水域及分水岭内的陆域范围只有乡村公路，无危险化学品专用运输道路。</w:t>
      </w:r>
    </w:p>
    <w:p w14:paraId="1850569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（2）水路运输</w:t>
      </w:r>
    </w:p>
    <w:p w14:paraId="2722C6E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饮用水源地保护区及汇水区域不涉及水路运输。</w:t>
      </w:r>
    </w:p>
    <w:p w14:paraId="73427C2A">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2.4</w:t>
      </w:r>
      <w:r>
        <w:rPr>
          <w:rFonts w:hint="eastAsia" w:asciiTheme="minorEastAsia" w:hAnsiTheme="minorEastAsia" w:eastAsiaTheme="minorEastAsia" w:cstheme="minorEastAsia"/>
          <w:sz w:val="28"/>
          <w:szCs w:val="28"/>
          <w:lang w:eastAsia="zh-CN"/>
        </w:rPr>
        <w:t>.3</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非点源</w:t>
      </w:r>
    </w:p>
    <w:p w14:paraId="0C8FB7FA">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周边居民居住比较分散，无集中的污水收集及处理设施，生活污水进入居民自家粪池后用于农业施肥。水源地保护区范围内偶有生活垃圾乱扔现象。</w:t>
      </w:r>
    </w:p>
    <w:p w14:paraId="07B5C95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评估范围内耕地主要用于种植水稻、玉米、蔬菜、果树等农作物；评估范围内无规模化和专业户畜禽养殖，存在居民小单元养殖。</w:t>
      </w:r>
    </w:p>
    <w:p w14:paraId="44DEDFA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综上，整体来看，五通乡老林沟饮用水源环境风险较小。</w:t>
      </w:r>
    </w:p>
    <w:p w14:paraId="0DA2ACC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p>
    <w:p w14:paraId="15F4CF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kern w:val="2"/>
          <w:sz w:val="32"/>
          <w:szCs w:val="32"/>
          <w:lang w:val="en-US" w:eastAsia="zh-CN" w:bidi="ar-SA"/>
        </w:rPr>
      </w:pPr>
      <w:bookmarkStart w:id="34" w:name="_Toc21990"/>
      <w:bookmarkStart w:id="35" w:name="_Toc1557"/>
      <w:bookmarkStart w:id="36" w:name="_Toc7962"/>
      <w:r>
        <w:rPr>
          <w:rFonts w:hint="eastAsia" w:ascii="宋体" w:hAnsi="宋体" w:eastAsia="宋体" w:cs="宋体"/>
          <w:b/>
          <w:bCs/>
          <w:color w:val="auto"/>
          <w:kern w:val="2"/>
          <w:sz w:val="32"/>
          <w:szCs w:val="32"/>
          <w:lang w:val="en-US" w:eastAsia="zh-CN" w:bidi="ar-SA"/>
        </w:rPr>
        <w:t>3 应急组织机构体系及职责</w:t>
      </w:r>
      <w:bookmarkEnd w:id="34"/>
      <w:bookmarkEnd w:id="35"/>
      <w:bookmarkEnd w:id="36"/>
    </w:p>
    <w:p w14:paraId="3ADA1FA3">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7" w:name="_Toc21399"/>
      <w:bookmarkStart w:id="38" w:name="_Toc20276"/>
      <w:bookmarkStart w:id="39" w:name="_Toc3034"/>
      <w:r>
        <w:rPr>
          <w:rFonts w:hint="eastAsia" w:ascii="宋体" w:hAnsi="宋体" w:eastAsia="宋体" w:cs="宋体"/>
          <w:b/>
          <w:bCs/>
          <w:color w:val="auto"/>
          <w:kern w:val="2"/>
          <w:sz w:val="32"/>
          <w:szCs w:val="32"/>
          <w:lang w:val="en-US" w:eastAsia="zh-CN" w:bidi="ar-SA"/>
        </w:rPr>
        <w:t>3.1 应急组织机构</w:t>
      </w:r>
      <w:bookmarkEnd w:id="37"/>
      <w:bookmarkEnd w:id="38"/>
      <w:bookmarkEnd w:id="39"/>
    </w:p>
    <w:p w14:paraId="34BEC93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五通乡是负责重庆市开州区五通乡突发环境事件应急管理工作的行政领导机关。根据工作需要，成立五通乡应急领导小组（以下简称“应急领导小组”），统一领导重庆市开州区五通乡突发环境事件应对工作，对重庆市开州区五通乡突发环境事件的应急管理、应急处置和灾后重建工作的实施领导，负责统一指挥突发环境事件应急处置工作。</w:t>
      </w:r>
    </w:p>
    <w:p w14:paraId="5F60232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总指挥由五通乡党委书记担任，副总指挥由五通乡党委副书记、乡长担任，成员由五通乡党委副书记、政法委员、五通乡党委委员、副乡长等和各相关部门负责人及各社区、村负责人担任。应急领导小组下设突发环境事件应急办公室（以下简称“应急办公室”），应急办公室设在五通乡产业发展中心，由产业发展中心主任兼任应急办主任，产业发展中心从事应急工作的相关同志为办公室成员。</w:t>
      </w:r>
      <w:bookmarkStart w:id="40" w:name="_Toc26095"/>
    </w:p>
    <w:p w14:paraId="65B85EBB">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default" w:ascii="宋体" w:hAnsi="宋体" w:eastAsia="宋体" w:cs="宋体"/>
          <w:b/>
          <w:bCs/>
          <w:color w:val="auto"/>
          <w:kern w:val="2"/>
          <w:sz w:val="32"/>
          <w:szCs w:val="32"/>
          <w:lang w:val="en-US" w:eastAsia="zh-CN" w:bidi="ar-SA"/>
        </w:rPr>
      </w:pPr>
      <w:bookmarkStart w:id="41" w:name="_Toc15216"/>
      <w:bookmarkStart w:id="42" w:name="_Toc26975"/>
      <w:r>
        <w:rPr>
          <w:rFonts w:hint="eastAsia" w:ascii="宋体" w:hAnsi="宋体" w:eastAsia="宋体" w:cs="宋体"/>
          <w:b/>
          <w:bCs/>
          <w:color w:val="auto"/>
          <w:kern w:val="2"/>
          <w:sz w:val="32"/>
          <w:szCs w:val="32"/>
          <w:lang w:val="en-US" w:eastAsia="zh-CN" w:bidi="ar-SA"/>
        </w:rPr>
        <w:t>3.2 应急工作机构及职责</w:t>
      </w:r>
      <w:bookmarkEnd w:id="40"/>
      <w:bookmarkEnd w:id="41"/>
      <w:bookmarkEnd w:id="42"/>
    </w:p>
    <w:p w14:paraId="18F9A3E6">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3.2.1 应急指挥部体系</w:t>
      </w:r>
    </w:p>
    <w:p w14:paraId="28389D5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时，应急领导小组自动转换为突发环境事件应急指挥部（以下简称“应急指挥部”），应急指挥部为突发环境事件现场应急指挥机构，应急领导小组组长自动转换为应急总指挥，副组长转换为副总指挥。</w:t>
      </w:r>
    </w:p>
    <w:p w14:paraId="36D81D9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应急指挥部按照职责分工和协同联动工作需要；下设3个应急工作组：现场处置组、综合协调组、警戒疏散组，开展突发环境事件及其次生、衍生灾害的应急处置工作。应急工作体系图见图3</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2。</w:t>
      </w:r>
    </w:p>
    <w:p w14:paraId="0DDBFDBF">
      <w:pPr>
        <w:pageBreakBefore w:val="0"/>
        <w:kinsoku/>
        <w:wordWrap/>
        <w:overflowPunct/>
        <w:topLinePunct w:val="0"/>
        <w:bidi w:val="0"/>
        <w:spacing w:before="0" w:beforeLines="0" w:after="0" w:afterLines="0"/>
        <w:ind w:left="0"/>
        <w:jc w:val="center"/>
        <w:textAlignment w:val="auto"/>
        <w:outlineLvl w:val="9"/>
        <w:rPr>
          <w:rFonts w:hint="eastAsia" w:ascii="宋体" w:hAnsi="宋体" w:eastAsia="宋体" w:cs="宋体"/>
          <w:b/>
          <w:bCs/>
          <w:color w:val="auto"/>
          <w:sz w:val="24"/>
          <w:szCs w:val="24"/>
          <w:lang w:val="en-US" w:eastAsia="zh-CN"/>
        </w:rPr>
      </w:pPr>
      <w:r>
        <w:rPr>
          <w:color w:val="auto"/>
          <w:sz w:val="24"/>
        </w:rPr>
        <mc:AlternateContent>
          <mc:Choice Requires="wpg">
            <w:drawing>
              <wp:anchor distT="0" distB="0" distL="114300" distR="114300" simplePos="0" relativeHeight="251674624" behindDoc="0" locked="0" layoutInCell="1" allowOverlap="1">
                <wp:simplePos x="0" y="0"/>
                <wp:positionH relativeFrom="column">
                  <wp:posOffset>1156970</wp:posOffset>
                </wp:positionH>
                <wp:positionV relativeFrom="paragraph">
                  <wp:posOffset>69215</wp:posOffset>
                </wp:positionV>
                <wp:extent cx="2799715" cy="2386330"/>
                <wp:effectExtent l="4445" t="4445" r="15240" b="9525"/>
                <wp:wrapTopAndBottom/>
                <wp:docPr id="66" name="组合 66"/>
                <wp:cNvGraphicFramePr/>
                <a:graphic xmlns:a="http://schemas.openxmlformats.org/drawingml/2006/main">
                  <a:graphicData uri="http://schemas.microsoft.com/office/word/2010/wordprocessingGroup">
                    <wpg:wgp>
                      <wpg:cNvGrpSpPr/>
                      <wpg:grpSpPr>
                        <a:xfrm>
                          <a:off x="0" y="0"/>
                          <a:ext cx="2799715" cy="2386330"/>
                          <a:chOff x="7345" y="244510"/>
                          <a:chExt cx="4409" cy="3758"/>
                        </a:xfrm>
                        <a:effectLst/>
                      </wpg:grpSpPr>
                      <wps:wsp>
                        <wps:cNvPr id="65" name="矩形 55"/>
                        <wps:cNvSpPr/>
                        <wps:spPr>
                          <a:xfrm>
                            <a:off x="8728" y="244510"/>
                            <a:ext cx="1763" cy="7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213D32">
                              <w:pPr>
                                <w:jc w:val="center"/>
                                <w:rPr>
                                  <w:rFonts w:hint="eastAsia" w:eastAsia="宋体"/>
                                  <w:sz w:val="28"/>
                                  <w:szCs w:val="28"/>
                                  <w:lang w:eastAsia="zh-CN"/>
                                </w:rPr>
                              </w:pPr>
                              <w:r>
                                <w:rPr>
                                  <w:rFonts w:hint="eastAsia"/>
                                  <w:sz w:val="28"/>
                                  <w:szCs w:val="28"/>
                                  <w:lang w:eastAsia="zh-CN"/>
                                </w:rPr>
                                <w:t>应急指挥部</w:t>
                              </w:r>
                            </w:p>
                          </w:txbxContent>
                        </wps:txbx>
                        <wps:bodyPr upright="1"/>
                      </wps:wsp>
                      <wps:wsp>
                        <wps:cNvPr id="67" name="矩形 57"/>
                        <wps:cNvSpPr/>
                        <wps:spPr>
                          <a:xfrm>
                            <a:off x="9347"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wps:txbx>
                        <wps:bodyPr upright="1"/>
                      </wps:wsp>
                      <wps:wsp>
                        <wps:cNvPr id="68" name="矩形 58"/>
                        <wps:cNvSpPr/>
                        <wps:spPr>
                          <a:xfrm>
                            <a:off x="1118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wps:txbx>
                        <wps:bodyPr upright="1"/>
                      </wps:wsp>
                      <wps:wsp>
                        <wps:cNvPr id="69" name="矩形 59"/>
                        <wps:cNvSpPr/>
                        <wps:spPr>
                          <a:xfrm>
                            <a:off x="734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wps:txbx>
                        <wps:bodyPr upright="1"/>
                      </wps:wsp>
                      <wps:wsp>
                        <wps:cNvPr id="70" name="肘形连接符 61"/>
                        <wps:cNvCnPr>
                          <a:stCxn id="65" idx="2"/>
                          <a:endCxn id="69" idx="0"/>
                        </wps:cNvCnPr>
                        <wps:spPr>
                          <a:xfrm rot="5400000">
                            <a:off x="7951" y="244907"/>
                            <a:ext cx="1329" cy="198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1" name="肘形连接符 62"/>
                        <wps:cNvCnPr>
                          <a:stCxn id="65" idx="2"/>
                          <a:endCxn id="68" idx="0"/>
                        </wps:cNvCnPr>
                        <wps:spPr>
                          <a:xfrm rot="5400000" flipV="1">
                            <a:off x="9871" y="244967"/>
                            <a:ext cx="1329" cy="186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2" name="直接连接符 63"/>
                        <wps:cNvCnPr/>
                        <wps:spPr>
                          <a:xfrm>
                            <a:off x="9596" y="245886"/>
                            <a:ext cx="10" cy="675"/>
                          </a:xfrm>
                          <a:prstGeom prst="line">
                            <a:avLst/>
                          </a:prstGeom>
                          <a:ln w="9525" cap="flat" cmpd="sng">
                            <a:solidFill>
                              <a:srgbClr val="000000"/>
                            </a:solidFill>
                            <a:prstDash val="solid"/>
                            <a:headEnd type="none" w="med" len="med"/>
                            <a:tailEnd type="arrow" w="med" len="med"/>
                          </a:ln>
                          <a:effectLst/>
                        </wps:spPr>
                        <wps:bodyPr upright="1"/>
                      </wps:wsp>
                    </wpg:wgp>
                  </a:graphicData>
                </a:graphic>
              </wp:anchor>
            </w:drawing>
          </mc:Choice>
          <mc:Fallback>
            <w:pict>
              <v:group id="_x0000_s1026" o:spid="_x0000_s1026" o:spt="203" style="position:absolute;left:0pt;margin-left:91.1pt;margin-top:5.45pt;height:187.9pt;width:220.45pt;mso-wrap-distance-bottom:0pt;mso-wrap-distance-top:0pt;z-index:251674624;mso-width-relative:page;mso-height-relative:page;" coordorigin="7345,244510" coordsize="4409,3758" o:gfxdata="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CnmQrfaAAAACgEAAA8AAAAAAAAAAQAgAAAAIgAAAGRycy9kb3ducmV2LnhtbFBLAQIUABQAAAAI&#10;AIdO4kAulTbEJQQAAAQUAAAOAAAAAAAAAAEAIAAAACkBAABkcnMvZTJvRG9jLnhtbFBLBQYAAAAA&#10;BgAGAFkBAADABwAAAAA=&#10;">
                <o:lock v:ext="edit" aspectratio="f"/>
                <v:rect id="矩形 55" o:spid="_x0000_s1026" o:spt="1" style="position:absolute;left:8728;top:244510;height:727;width:1763;"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213D32">
                        <w:pPr>
                          <w:jc w:val="center"/>
                          <w:rPr>
                            <w:rFonts w:hint="eastAsia" w:eastAsia="宋体"/>
                            <w:sz w:val="28"/>
                            <w:szCs w:val="28"/>
                            <w:lang w:eastAsia="zh-CN"/>
                          </w:rPr>
                        </w:pPr>
                        <w:r>
                          <w:rPr>
                            <w:rFonts w:hint="eastAsia"/>
                            <w:sz w:val="28"/>
                            <w:szCs w:val="28"/>
                            <w:lang w:eastAsia="zh-CN"/>
                          </w:rPr>
                          <w:t>应急指挥部</w:t>
                        </w:r>
                      </w:p>
                    </w:txbxContent>
                  </v:textbox>
                </v:rect>
                <v:rect id="矩形 57" o:spid="_x0000_s1026" o:spt="1" style="position:absolute;left:9347;top:246566;height:1702;width:569;"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v:textbox>
                </v:rect>
                <v:rect id="矩形 58" o:spid="_x0000_s1026" o:spt="1" style="position:absolute;left:11185;top:246566;height:1702;width:569;"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v:textbox>
                </v:rect>
                <v:rect id="矩形 59" o:spid="_x0000_s1026" o:spt="1" style="position:absolute;left:7345;top:246566;height:1702;width:569;"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v:textbox>
                </v:rect>
                <v:shape id="肘形连接符 61" o:spid="_x0000_s1026" o:spt="34" type="#_x0000_t34" style="position:absolute;left:7951;top:244907;height:1980;width:1329;rotation:5898240f;" filled="f" stroked="t" coordsize="21600,21600" o:gfxdata="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Cd60ugAAANsA&#10;AAAPAAAAAAAAAAEAIAAAACIAAABkcnMvZG93bnJldi54bWxQSwECFAAUAAAACACHTuJAMy8FnjsA&#10;AAA5AAAAEAAAAAAAAAABACAAAAAJAQAAZHJzL3NoYXBleG1sLnhtbFBLBQYAAAAABgAGAFsBAACz&#10;AwAAAAA=&#10;" adj="10800">
                  <v:fill on="f" focussize="0,0"/>
                  <v:stroke color="#000000" joinstyle="miter" endarrow="open"/>
                  <v:imagedata o:title=""/>
                  <o:lock v:ext="edit" aspectratio="f"/>
                </v:shape>
                <v:shape id="肘形连接符 62" o:spid="_x0000_s1026" o:spt="34" type="#_x0000_t34" style="position:absolute;left:9871;top:244967;flip:y;height:1860;width:1329;rotation:-5898240f;" filled="f" stroked="t" coordsize="21600,21600" o:gfxdata="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Ugr4A&#10;AADb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line id="直接连接符 63" o:spid="_x0000_s1026" o:spt="20" style="position:absolute;left:9596;top:245886;height:675;width:10;" filled="f" stroked="t" coordsize="21600,21600" o:gfxdata="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4TS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topAndBottom"/>
              </v:group>
            </w:pict>
          </mc:Fallback>
        </mc:AlternateContent>
      </w:r>
      <w:r>
        <w:rPr>
          <w:rFonts w:hint="eastAsia" w:ascii="宋体" w:hAnsi="宋体" w:eastAsia="宋体" w:cs="宋体"/>
          <w:b/>
          <w:bCs/>
          <w:color w:val="auto"/>
          <w:sz w:val="24"/>
          <w:szCs w:val="24"/>
          <w:lang w:val="en-US" w:eastAsia="zh-CN"/>
        </w:rPr>
        <w:t>图3-2 应急工作体系图</w:t>
      </w:r>
    </w:p>
    <w:p w14:paraId="59062A69">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default"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3.2.2 应急指挥部职责</w:t>
      </w:r>
    </w:p>
    <w:p w14:paraId="43098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3.2.2.1 应急指挥部</w:t>
      </w:r>
    </w:p>
    <w:p w14:paraId="7D36601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1）宣布成立现场应急指挥部；</w:t>
      </w:r>
    </w:p>
    <w:p w14:paraId="63841B3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2）发生水源地突发环境事件时，亲自或委托副指挥长赶赴现场进行指挥；</w:t>
      </w:r>
    </w:p>
    <w:p w14:paraId="56680D7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3）组织开展现场应急处置；</w:t>
      </w:r>
    </w:p>
    <w:p w14:paraId="1EA1106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4）贯彻执行当地或上级人民政府及有关部门的应急指令；</w:t>
      </w:r>
    </w:p>
    <w:p w14:paraId="1DC6B09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5）研判突发环境事件发展态势，组织制定并批准现场处置方案；</w:t>
      </w:r>
    </w:p>
    <w:p w14:paraId="074DC1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6）按照预警、应急启动或终止条件，决定预案的启动或终止；</w:t>
      </w:r>
    </w:p>
    <w:p w14:paraId="2AAFC5B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7）组织开展损害评估等后期工作。</w:t>
      </w:r>
    </w:p>
    <w:p w14:paraId="06BD322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8）接受上级领导部门交办任务。</w:t>
      </w:r>
    </w:p>
    <w:p w14:paraId="7FDC46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3.2.2.2 现场处置组</w:t>
      </w:r>
    </w:p>
    <w:p w14:paraId="5761DFE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长：产业发展中心主任</w:t>
      </w:r>
    </w:p>
    <w:p w14:paraId="5A71E3D9">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员：产业发展中心工作人员、产业发展中心工作人员</w:t>
      </w:r>
    </w:p>
    <w:p w14:paraId="67F2B9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1A30344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1）根据突发环境事件的性质、社会危害程度、可控性和影响范围，明确应对应急处置工作方案。</w:t>
      </w:r>
    </w:p>
    <w:p w14:paraId="25763F2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2）制定人员搜救方案，指导现场处置人员的安全防护和遇险人员自救，清点、寻找事件现场内涉险人员，并将其从危险区疏散撤离。</w:t>
      </w:r>
    </w:p>
    <w:p w14:paraId="1C0CA38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3）迅速组织切断污染源，分析污染途径，明确防止污染物扩散的路径；组织采取有效措施。对风险物质收集为主，开展围堵、疏导、收集的应急处置工作。</w:t>
      </w:r>
    </w:p>
    <w:p w14:paraId="1957776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4）消除或减轻已经造成的污染，明确不同情况下的现场处置人员须采取的个人防护措施。</w:t>
      </w:r>
    </w:p>
    <w:p w14:paraId="025F6F2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5）实施持续有序高效组织开展突发环境事件影响区域的应急处置工作。</w:t>
      </w:r>
    </w:p>
    <w:p w14:paraId="763DF55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6）完成应急指挥部交办的其他任务。</w:t>
      </w:r>
    </w:p>
    <w:p w14:paraId="72A4CE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3.2.2.3 综合协调组</w:t>
      </w:r>
    </w:p>
    <w:p w14:paraId="547063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长：基层治理综合指挥室负责人</w:t>
      </w:r>
    </w:p>
    <w:p w14:paraId="262E63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员：基层治理综合指挥室工作人员、基层治理综合指挥室工作人员</w:t>
      </w:r>
    </w:p>
    <w:p w14:paraId="158409C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4F41B105">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w:t>
      </w:r>
      <w:r>
        <w:rPr>
          <w:rFonts w:hint="eastAsia" w:ascii="宋体" w:hAnsi="宋体" w:eastAsia="宋体" w:cs="宋体"/>
          <w:color w:val="auto"/>
          <w:sz w:val="28"/>
          <w:szCs w:val="28"/>
          <w:lang w:val="en-US" w:eastAsia="zh-CN"/>
        </w:rPr>
        <w:t>）负责事发现场相关信息的收集、汇总、处理，组织编制环境事件报告。</w:t>
      </w:r>
    </w:p>
    <w:p w14:paraId="4992BA3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highlight w:val="none"/>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）及时向区政府和上级主管部门报送信息，</w:t>
      </w:r>
      <w:r>
        <w:rPr>
          <w:rFonts w:hint="eastAsia" w:ascii="宋体" w:hAnsi="宋体" w:eastAsia="宋体" w:cs="宋体"/>
          <w:color w:val="auto"/>
          <w:sz w:val="28"/>
          <w:szCs w:val="28"/>
          <w:highlight w:val="none"/>
          <w:lang w:val="en-US" w:eastAsia="zh-CN"/>
        </w:rPr>
        <w:t>协调区、街道的环境应急处置力量。</w:t>
      </w:r>
    </w:p>
    <w:p w14:paraId="16D7AC7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t>）负责保持与各单位（部门）的信息联络工作</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负责制定应急供水保障方案；负责指导供水单位启动深度处 理设施或备用水源以及应急供水车等措施，保障居民用水；</w:t>
      </w:r>
    </w:p>
    <w:p w14:paraId="2FBDC2B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w:t>
      </w:r>
      <w:r>
        <w:rPr>
          <w:rFonts w:hint="eastAsia" w:ascii="宋体" w:hAnsi="宋体" w:eastAsia="宋体" w:cs="宋体"/>
          <w:color w:val="auto"/>
          <w:sz w:val="28"/>
          <w:szCs w:val="28"/>
          <w:lang w:val="en-US" w:eastAsia="zh-CN"/>
        </w:rPr>
        <w:t>）对预警、应急处置、事件调查、信息报送、信息通报、信息发布等工作进行统筹协调、指挥调度、督促落实。</w:t>
      </w:r>
    </w:p>
    <w:p w14:paraId="67CAE01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t>）组织做好环境应急救援物资及临时安置重要物资的紧急储备调拨和紧急配送工作。</w:t>
      </w:r>
    </w:p>
    <w:p w14:paraId="399043F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6）及时组织调运生活必需品，保障事件区域附近群众基本生活和市场供应。</w:t>
      </w:r>
    </w:p>
    <w:p w14:paraId="046C8B6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7）组织开展应急工作的信息发布工作，加强新闻宣传。收集分析舆情和社会公众动态，及时澄清不实信息，回应社会关切。加强媒体、电信和互联网的管理，正确引导舆论。</w:t>
      </w:r>
    </w:p>
    <w:p w14:paraId="2679457B">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r>
        <w:rPr>
          <w:rFonts w:hint="default" w:ascii="宋体" w:hAnsi="宋体" w:eastAsia="宋体" w:cs="宋体"/>
          <w:color w:val="auto"/>
          <w:sz w:val="28"/>
          <w:szCs w:val="28"/>
          <w:lang w:val="en-US" w:eastAsia="zh-CN"/>
        </w:rPr>
        <w:t>）突发环境事件处置工作结束后，负责开展善后处置工作，包括人员安置、抚恤补偿、保险理赔、医疗补助、征用补偿、救援物资供应、环境污染消除、污染源监控和治理等措施</w:t>
      </w:r>
    </w:p>
    <w:p w14:paraId="045F892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r>
        <w:rPr>
          <w:rFonts w:hint="default" w:ascii="宋体" w:hAnsi="宋体" w:eastAsia="宋体" w:cs="宋体"/>
          <w:color w:val="auto"/>
          <w:sz w:val="28"/>
          <w:szCs w:val="28"/>
          <w:lang w:val="en-US" w:eastAsia="zh-CN"/>
        </w:rPr>
        <w:t>）防止事件造成次生、衍生危害，尽快恢复正常秩序，确保社会稳定。</w:t>
      </w:r>
    </w:p>
    <w:p w14:paraId="3A32745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10）完成应急指挥部交办的其他任务。</w:t>
      </w:r>
    </w:p>
    <w:p w14:paraId="0DBD9E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3.2.2.4 警戒疏散组</w:t>
      </w:r>
    </w:p>
    <w:p w14:paraId="56C9CA0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长：五通乡平安法制办主任</w:t>
      </w:r>
    </w:p>
    <w:p w14:paraId="6B67EE4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员：五通乡执法大队大队长、五通乡执法大队工作人员、五通乡执法大队工作人员</w:t>
      </w:r>
    </w:p>
    <w:p w14:paraId="42D62B1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669D8FA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污染物种类、性质以及当地气象、自然、社会环境状况等，配合区政府、区生态环境局或专家等明确相应的应急监测方案及监测方法，协调、配合监测单位开展应急监测，及时为突发环境事件应急决策提供依据。</w:t>
      </w:r>
    </w:p>
    <w:p w14:paraId="3D786DE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2）依据现场监测的情况，为事件区域设置警戒区域提供科学依据，并划定现场警戒和交通管制区域，确定重点防护区域。</w:t>
      </w:r>
    </w:p>
    <w:p w14:paraId="5F6CAAF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3）确定受威胁人员疏散的方式和途径，疏散转移受威胁人员至紧急避险场所。</w:t>
      </w:r>
    </w:p>
    <w:p w14:paraId="2DB7DB6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4）及时组织开展伤病员医疗救治、应急心理援助，将人员伤害降低到最小，协助开展受污染人员的卫生防疫工作。</w:t>
      </w:r>
    </w:p>
    <w:p w14:paraId="00B4B14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5）负责事件现场警戒，及时对无关人员疏散，疏通消防通道，确保消防、医疗救护车辆能抵达事件现场。</w:t>
      </w:r>
    </w:p>
    <w:p w14:paraId="143CBA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6）维护事件现场治安秩序，确保事件应急救援工作顺利开展。</w:t>
      </w:r>
    </w:p>
    <w:p w14:paraId="55AD6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7）完成应急指挥部交办的其他任务。</w:t>
      </w:r>
    </w:p>
    <w:p w14:paraId="24EDAD15">
      <w:pPr>
        <w:jc w:val="center"/>
        <w:rPr>
          <w:rFonts w:hint="default" w:ascii="Times New Roman" w:hAnsi="Times New Roman" w:eastAsia="黑体" w:cs="Times New Roman"/>
          <w:color w:val="FF0000"/>
          <w:sz w:val="24"/>
        </w:rPr>
      </w:pPr>
    </w:p>
    <w:p w14:paraId="49FB6B39">
      <w:pPr>
        <w:ind w:firstLine="520" w:firstLineChars="200"/>
        <w:jc w:val="left"/>
        <w:rPr>
          <w:rFonts w:hint="default" w:ascii="Times New Roman" w:hAnsi="Times New Roman" w:cs="Times New Roman"/>
          <w:color w:val="FF0000"/>
          <w:sz w:val="26"/>
          <w:szCs w:val="26"/>
        </w:rPr>
        <w:sectPr>
          <w:footerReference r:id="rId7" w:type="default"/>
          <w:pgSz w:w="11906" w:h="16838"/>
          <w:pgMar w:top="1474" w:right="2041" w:bottom="1587" w:left="2098"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2E5FEC5D">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default" w:ascii="宋体" w:hAnsi="宋体" w:eastAsia="宋体" w:cs="宋体"/>
          <w:b/>
          <w:bCs/>
          <w:color w:val="000000"/>
          <w:sz w:val="32"/>
          <w:szCs w:val="32"/>
          <w:lang w:val="en-US" w:eastAsia="zh-CN"/>
        </w:rPr>
      </w:pPr>
      <w:bookmarkStart w:id="43" w:name="_Toc13839"/>
      <w:bookmarkStart w:id="44" w:name="_Toc13987"/>
      <w:bookmarkStart w:id="45" w:name="_Toc15130"/>
      <w:r>
        <w:rPr>
          <w:rStyle w:val="19"/>
          <w:rFonts w:hint="eastAsia" w:ascii="宋体" w:hAnsi="宋体" w:eastAsia="宋体" w:cs="宋体"/>
          <w:b/>
          <w:bCs/>
          <w:color w:val="000000"/>
          <w:sz w:val="32"/>
          <w:szCs w:val="32"/>
          <w:lang w:val="en-US" w:eastAsia="zh-CN"/>
        </w:rPr>
        <w:t>4</w:t>
      </w:r>
      <w:r>
        <w:rPr>
          <w:rStyle w:val="19"/>
          <w:rFonts w:hint="eastAsia" w:ascii="宋体" w:hAnsi="宋体" w:cs="宋体"/>
          <w:b/>
          <w:bCs/>
          <w:color w:val="000000"/>
          <w:sz w:val="32"/>
          <w:szCs w:val="32"/>
          <w:lang w:val="en-US" w:eastAsia="zh-CN"/>
        </w:rPr>
        <w:t xml:space="preserve"> </w:t>
      </w:r>
      <w:r>
        <w:rPr>
          <w:rStyle w:val="19"/>
          <w:rFonts w:hint="eastAsia" w:cs="宋体"/>
          <w:b/>
          <w:bCs/>
          <w:color w:val="000000"/>
          <w:sz w:val="32"/>
          <w:szCs w:val="32"/>
          <w:lang w:val="en-US" w:eastAsia="zh-CN"/>
        </w:rPr>
        <w:t>应急响应</w:t>
      </w:r>
      <w:bookmarkEnd w:id="43"/>
      <w:bookmarkEnd w:id="44"/>
    </w:p>
    <w:p w14:paraId="2B78A8E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州区五通乡老林沟水源地突发环境事件应急响应程序包括信息收集和研判、预警、信息报告与通报、事态研判、应急监测、污染源排查与处置、应急处置、物资调集及应急设施启用、舆情监测与信息发布、响应终止等工作内容。主要应急响应流程图见图4.1-1。</w:t>
      </w:r>
    </w:p>
    <w:p w14:paraId="336345E0">
      <w:pPr>
        <w:pStyle w:val="21"/>
        <w:rPr>
          <w:rFonts w:hint="eastAsia"/>
          <w:lang w:val="en-US" w:eastAsia="zh-CN"/>
        </w:rPr>
      </w:pPr>
      <w:r>
        <w:rPr>
          <w:rFonts w:hint="default" w:ascii="Times New Roman" w:hAnsi="Times New Roman" w:eastAsia="宋体" w:cs="Times New Roman"/>
          <w:color w:val="000000"/>
          <w:kern w:val="2"/>
          <w:sz w:val="21"/>
          <w:szCs w:val="24"/>
          <w:lang w:val="en-US" w:eastAsia="zh-CN" w:bidi="ar-SA"/>
        </w:rPr>
        <w:drawing>
          <wp:anchor distT="0" distB="0" distL="114300" distR="114300" simplePos="0" relativeHeight="251673600" behindDoc="0" locked="0" layoutInCell="1" allowOverlap="1">
            <wp:simplePos x="0" y="0"/>
            <wp:positionH relativeFrom="column">
              <wp:posOffset>-20320</wp:posOffset>
            </wp:positionH>
            <wp:positionV relativeFrom="paragraph">
              <wp:posOffset>0</wp:posOffset>
            </wp:positionV>
            <wp:extent cx="5788660" cy="6143625"/>
            <wp:effectExtent l="0" t="0" r="2540" b="952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788660" cy="6143625"/>
                    </a:xfrm>
                    <a:prstGeom prst="rect">
                      <a:avLst/>
                    </a:prstGeom>
                    <a:noFill/>
                    <a:ln>
                      <a:noFill/>
                    </a:ln>
                  </pic:spPr>
                </pic:pic>
              </a:graphicData>
            </a:graphic>
          </wp:anchor>
        </w:drawing>
      </w:r>
    </w:p>
    <w:p w14:paraId="439F17E4">
      <w:pPr>
        <w:pStyle w:val="22"/>
        <w:spacing w:line="520" w:lineRule="exact"/>
        <w:ind w:firstLine="0" w:firstLineChars="0"/>
        <w:jc w:val="center"/>
        <w:rPr>
          <w:rFonts w:hint="eastAsia" w:ascii="宋体" w:hAnsi="宋体" w:cs="Times New Roman"/>
          <w:b/>
          <w:bCs/>
          <w:sz w:val="24"/>
          <w:lang w:val="en-US" w:eastAsia="zh-CN"/>
        </w:rPr>
      </w:pPr>
      <w:r>
        <w:rPr>
          <w:rFonts w:hint="eastAsia" w:ascii="宋体" w:hAnsi="宋体" w:cs="Times New Roman"/>
          <w:b/>
          <w:bCs/>
          <w:sz w:val="24"/>
          <w:lang w:val="en-US" w:eastAsia="zh-CN"/>
        </w:rPr>
        <w:t>图4.1-1 应急响应流程图</w:t>
      </w:r>
    </w:p>
    <w:p w14:paraId="63571EC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46" w:name="_Toc186124190"/>
      <w:bookmarkStart w:id="47" w:name="_Toc9410"/>
      <w:bookmarkStart w:id="48" w:name="_Toc186125025"/>
      <w:bookmarkStart w:id="49" w:name="_Toc4623"/>
      <w:bookmarkStart w:id="50" w:name="_Toc186123037"/>
      <w:bookmarkStart w:id="51" w:name="_Toc30252"/>
      <w:bookmarkStart w:id="52" w:name="_Toc186122732"/>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.1</w:t>
      </w:r>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lang w:val="en-US" w:eastAsia="zh-CN"/>
        </w:rPr>
        <w:t>信息收集与研判</w:t>
      </w:r>
      <w:bookmarkEnd w:id="46"/>
      <w:bookmarkEnd w:id="47"/>
      <w:bookmarkEnd w:id="48"/>
      <w:bookmarkEnd w:id="49"/>
      <w:bookmarkEnd w:id="50"/>
      <w:bookmarkEnd w:id="51"/>
      <w:bookmarkEnd w:id="52"/>
    </w:p>
    <w:p w14:paraId="6CD7E095">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.1.1 信息收集</w:t>
      </w:r>
    </w:p>
    <w:p w14:paraId="1360E5C0">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信息来源包括但不限于以下途径：通过流域、水源地或供水单位开展的水质监督性监测（常规断面）、在线监测（常规和预警监控断面）等日常监管渠道获取水质异常信息，也可以通过水文气象、地质灾害、污染源排放等信息开展水质预测预警，获取水质异常信息；通过水源地上游及周边主要风险源监控获取异常排放信息、相关部门报告、群众举报获取事故信息；通过各部门之间以及饮用水水源地上下游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之间建立的信息收集与共享渠道，获取突发环境事件信息。</w:t>
      </w:r>
    </w:p>
    <w:p w14:paraId="3261D8FF">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.1.2 信息研判与会商</w:t>
      </w:r>
    </w:p>
    <w:p w14:paraId="4E4DE2A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3" w:name="_Toc186123038"/>
      <w:bookmarkStart w:id="54" w:name="_Toc186124191"/>
      <w:bookmarkStart w:id="55" w:name="_Toc186122733"/>
      <w:bookmarkStart w:id="56" w:name="_Toc186125026"/>
      <w:r>
        <w:rPr>
          <w:rFonts w:hint="eastAsia" w:ascii="宋体" w:hAnsi="宋体" w:eastAsia="宋体" w:cs="宋体"/>
          <w:color w:val="auto"/>
          <w:sz w:val="28"/>
          <w:szCs w:val="28"/>
          <w:lang w:val="en-US" w:eastAsia="zh-CN"/>
        </w:rPr>
        <w:t>通过群众举报、责任单位报告、相邻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通报等渠道获取突发事件信息后，第一时间开展信息研判和会商，第一时间核实信息真实性，必要时会同相关部门共同开展应急监测或补充调查，核实信息的准确性，收集更全面、更权威的资料信息。</w:t>
      </w:r>
      <w:bookmarkEnd w:id="53"/>
      <w:bookmarkEnd w:id="54"/>
      <w:bookmarkEnd w:id="55"/>
      <w:bookmarkEnd w:id="56"/>
    </w:p>
    <w:p w14:paraId="3224743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7" w:name="_Toc186125027"/>
      <w:bookmarkStart w:id="58" w:name="_Toc186122734"/>
      <w:bookmarkStart w:id="59" w:name="_Toc186124192"/>
      <w:bookmarkStart w:id="60" w:name="_Toc186123039"/>
      <w:r>
        <w:rPr>
          <w:rFonts w:hint="eastAsia" w:ascii="宋体" w:hAnsi="宋体" w:eastAsia="宋体" w:cs="宋体"/>
          <w:color w:val="auto"/>
          <w:sz w:val="28"/>
          <w:szCs w:val="28"/>
          <w:lang w:val="en-US" w:eastAsia="zh-CN"/>
        </w:rPr>
        <w:t>初步研判发生重大、特别重大突发环境事件，由市政府牵头应对，区政府配合。初步研判发生一般、较大突发环境事件，由区政府负责应对。</w:t>
      </w:r>
      <w:bookmarkEnd w:id="57"/>
      <w:bookmarkEnd w:id="58"/>
      <w:bookmarkEnd w:id="59"/>
      <w:bookmarkEnd w:id="60"/>
    </w:p>
    <w:p w14:paraId="70D81831">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61" w:name="_Toc4972"/>
      <w:bookmarkStart w:id="62" w:name="_Toc26651"/>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2</w:t>
      </w:r>
      <w:r>
        <w:rPr>
          <w:rFonts w:hint="eastAsia" w:ascii="宋体" w:hAnsi="宋体" w:eastAsia="宋体" w:cs="宋体"/>
          <w:b/>
          <w:bCs/>
          <w:color w:val="000000"/>
          <w:sz w:val="28"/>
          <w:szCs w:val="28"/>
          <w:lang w:val="en-US" w:eastAsia="zh-CN"/>
        </w:rPr>
        <w:t xml:space="preserve"> </w:t>
      </w:r>
      <w:bookmarkStart w:id="63" w:name="_Toc186122991"/>
      <w:bookmarkStart w:id="64" w:name="_Toc186124976"/>
      <w:bookmarkStart w:id="65" w:name="_Toc186124151"/>
      <w:r>
        <w:rPr>
          <w:rFonts w:hint="eastAsia" w:ascii="宋体" w:hAnsi="宋体" w:eastAsia="宋体" w:cs="宋体"/>
          <w:b/>
          <w:bCs/>
          <w:color w:val="000000"/>
          <w:sz w:val="28"/>
          <w:szCs w:val="28"/>
          <w:lang w:val="en-US" w:eastAsia="zh-CN"/>
        </w:rPr>
        <w:t>预警</w:t>
      </w:r>
      <w:bookmarkEnd w:id="61"/>
      <w:bookmarkEnd w:id="62"/>
      <w:bookmarkEnd w:id="63"/>
      <w:bookmarkEnd w:id="64"/>
      <w:bookmarkEnd w:id="65"/>
    </w:p>
    <w:p w14:paraId="3CD81B97">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预警分级</w:t>
      </w:r>
    </w:p>
    <w:p w14:paraId="36089B5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按照开州区的要求</w:t>
      </w:r>
      <w:r>
        <w:rPr>
          <w:rFonts w:hint="eastAsia" w:ascii="宋体" w:hAnsi="宋体" w:eastAsia="宋体" w:cs="宋体"/>
          <w:color w:val="auto"/>
          <w:sz w:val="28"/>
          <w:szCs w:val="28"/>
          <w:lang w:val="en-US" w:eastAsia="zh-CN"/>
        </w:rPr>
        <w:t>，水源地突发环境事件的预警级别由低到高分为橙色和红色两级。</w:t>
      </w:r>
    </w:p>
    <w:p w14:paraId="1E68C98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当污染物迁移至水源地应急预案适用范围，但水源地保护区或其上游连接水体尚未受到污染，或是污染物已进入水源保护区上游连接水体，研判认为对水源地水质影响可能较小、可能不影响取水时，为橙色预警。</w:t>
      </w:r>
    </w:p>
    <w:p w14:paraId="5CE48FE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红色预警：当污染物已进入（或出现在）水源地保护区或其上游连接水体，研判认为对水源地水质影响可能较大时、可能影响取水时，为红色预警。</w:t>
      </w:r>
    </w:p>
    <w:p w14:paraId="18C43D7F">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上述分级标准中，生态环境部、市生态环境局、区生态环境局及有关部门有规定的，从其规定。对特殊的突发环境事件，可能演化为重大、特别重大事故的，不受分级标准限制。</w:t>
      </w:r>
    </w:p>
    <w:p w14:paraId="437AAB2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4.2.2 预警的启动条件</w:t>
      </w:r>
    </w:p>
    <w:p w14:paraId="0EAE866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2.1</w:t>
      </w:r>
      <w:r>
        <w:rPr>
          <w:rFonts w:hint="eastAsia" w:ascii="宋体" w:hAnsi="宋体" w:eastAsia="宋体" w:cs="宋体"/>
          <w:color w:val="auto"/>
          <w:sz w:val="28"/>
          <w:szCs w:val="28"/>
          <w:lang w:val="en-US" w:eastAsia="zh-CN"/>
        </w:rPr>
        <w:t xml:space="preserve"> 橙色预警启动条件</w:t>
      </w:r>
    </w:p>
    <w:p w14:paraId="7A3D99F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ascii="Times New Roman" w:hAnsi="Times New Roman" w:eastAsia="方正仿宋_GBK"/>
          <w:kern w:val="0"/>
          <w:sz w:val="32"/>
          <w:szCs w:val="32"/>
        </w:rPr>
      </w:pPr>
      <w:r>
        <w:rPr>
          <w:rFonts w:hint="eastAsia" w:ascii="宋体" w:hAnsi="宋体" w:eastAsia="宋体" w:cs="宋体"/>
          <w:color w:val="auto"/>
          <w:sz w:val="28"/>
          <w:szCs w:val="28"/>
          <w:lang w:val="en-US" w:eastAsia="zh-CN"/>
        </w:rPr>
        <w:t>接到上级指令或信息通报后，虽污染物未迁移至水源地应急预案适用范围，但污染物已进入水源保护区上游连接水体，经研判认为对水源地水质可能造成污染，不影响取水；通过信息报告发现，污染物已扩散至距水源保护区上游连接水体的直线距离不足1千米的陆域或水域；污染物已进入水源保护区上游连接水体，经研判认为对水源地水质影响可能较小、可能不影响取水。</w:t>
      </w:r>
    </w:p>
    <w:p w14:paraId="17CC76E3">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.2 红色预警启动条件</w:t>
      </w:r>
    </w:p>
    <w:p w14:paraId="47B2205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接到上级指令或信息通报后，虽污染物未迁移至水源地应急预案适用的地域范围内，但污染物已进入水源保护区上游连接水体，研判认为对饮用水水源地水质有影响，可能影响取水；通过信息报告发现，在水源地一级、二级保护区内发生突发环境事件；通过信息报告发现，在二级保护区上游汇水区域4小时流程范围内发生固定源或流动源突发环境事件，或污染物已扩散至距水源保护区上游连接水体的直线距离不足100米的陆域或水域；通过信息报告发现，在二级保护区上游汇水区域8小时流程范围内发生固定源或流动源突发环境事件，或污染物已扩散至距水源保护区上游连接水体的直线距离不足200米的陆域或水域，经水质监测和信息研判，判断污染物迁移至取水口位置时，相应指标浓度仍会超标的；通过监测发现，水源保护区或其上游连接水体理化指标异常〔主要包括：在二级保护区内，出现自动站水质监测指标超标或生物综合毒性异常，经实验室监（复）测确认的；在二级保护区上游8小时流程范围内，出现水质监测指标、有毒有害物质或生物综合毒性异常，且污染物浓度持续升高的；在二级保护区上游4小时流程范围内，出现水质监测指标、有毒有害物质或生物综合毒性异常的〕；通过监测发现，水源保护区或其上游连接水体感官性状异常，即水体出现异常颜色或气味的；通过监测发现，水源保护区或其上游连接水体生态指标异常，即水面出现大面积死鱼或生物综合毒性异常并经实验室监测后确认的。</w:t>
      </w:r>
    </w:p>
    <w:p w14:paraId="187EC6B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4.2.3 发布预警和预警级别调整</w:t>
      </w:r>
    </w:p>
    <w:p w14:paraId="433C3D9C">
      <w:pPr>
        <w:pStyle w:val="5"/>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left"/>
        <w:textAlignment w:val="auto"/>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2</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3.1</w:t>
      </w:r>
      <w:r>
        <w:rPr>
          <w:rFonts w:hint="eastAsia" w:asciiTheme="minorEastAsia" w:hAnsiTheme="minorEastAsia" w:eastAsiaTheme="minorEastAsia" w:cstheme="minorEastAsia"/>
          <w:b w:val="0"/>
          <w:bCs w:val="0"/>
          <w:sz w:val="28"/>
          <w:szCs w:val="28"/>
          <w:lang w:eastAsia="zh-CN"/>
        </w:rPr>
        <w:t xml:space="preserve"> 预警发布</w:t>
      </w:r>
    </w:p>
    <w:p w14:paraId="7E4D015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橙色预警和红色预警由区政府及其指定部门发布或上级人民政府及其指定部门发布。</w:t>
      </w:r>
    </w:p>
    <w:p w14:paraId="095BA20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预警发布内容应包括但不限于以下内容：类别、预警级别；事件起止时间、可能影响的范围；应采取的措施和发布机关。</w:t>
      </w:r>
    </w:p>
    <w:p w14:paraId="5290242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预警对象：根据不同的突发水环境事件类型，对组织实施预警行动和应急处置行动的部门和单位发布预警。</w:t>
      </w:r>
    </w:p>
    <w:p w14:paraId="3194EC09">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4.2.3.2 预警调整</w:t>
      </w:r>
    </w:p>
    <w:p w14:paraId="119AEEE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发布单位应当根据事态的发展情况和采取措施的效果，按照有关规定适时调整预警级别。证明不可能发生突发环境事件或危险已经解除的，预警信息发布单位应当及时宣布解除预警，并停止采取有关措施。</w:t>
      </w:r>
    </w:p>
    <w:p w14:paraId="12D950C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 xml:space="preserve"> 预警行动</w:t>
      </w:r>
    </w:p>
    <w:p w14:paraId="041F873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橙色预警时，预警行动包含但不限于以下内容：通报相关部门或单位及涉事企业突发环境事件信息，指导启动本部门或单位应急预案；各有关部门或单位按照各自职责开展应急监测或做好应急监测准备；启动备用水源调度准备，调集应急处置所需物资装备，做好应急处置的保障工作；按照职责，各有关部门或单位进入待命状态，必要时到达现场开展相关工作；及时准确发布事态最新情况，加强相关舆情监测，做好舆论引导工作等。</w:t>
      </w:r>
    </w:p>
    <w:p w14:paraId="69F6831C">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红色预警时，预警行动包含但不限于以下内容：下达启动饮用水水源地应急预案的命令；通知有关单位和人员做好应急准备，进入待命状态，必要时到达现场开展相关工作；通知饮用水水源地供水单位进入待命状态，做好停止取水、深度处理、低压供水或启动备用水源等准备；加强信息监控，核实突发环境事件污染来源、进入水体的污染物种类和总量、污染扩散范围等信息；开展应急监测或做好应急监测准备；做好事件信息上报和通报；调集所需应急物资和设备，做好应急保障；在危险区域设置提示或警告标志；必要时，及时通过媒体向公众发布信息；加强舆情监测、引导和应对工作等。</w:t>
      </w:r>
    </w:p>
    <w:p w14:paraId="37E2DCE0">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.2.5</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预警解除</w:t>
      </w:r>
    </w:p>
    <w:p w14:paraId="2F1D19E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66" w:name="_Toc186125029"/>
      <w:bookmarkStart w:id="67" w:name="_Toc186123041"/>
      <w:bookmarkStart w:id="68" w:name="_Toc186124194"/>
      <w:bookmarkStart w:id="69" w:name="_Toc186122736"/>
      <w:r>
        <w:rPr>
          <w:rFonts w:hint="eastAsia" w:ascii="宋体" w:hAnsi="宋体" w:eastAsia="宋体" w:cs="宋体"/>
          <w:color w:val="auto"/>
          <w:sz w:val="28"/>
          <w:szCs w:val="28"/>
          <w:lang w:val="en-US" w:eastAsia="zh-CN"/>
        </w:rPr>
        <w:t>当引起预警的条件消除和各类隐患排除后，饮用水水源地水质及供水不会受到影响时，由发布预警的单位下达预警解除指令，终止已经采取的有关行动和措施。</w:t>
      </w:r>
      <w:bookmarkEnd w:id="66"/>
      <w:bookmarkEnd w:id="67"/>
      <w:bookmarkEnd w:id="68"/>
      <w:bookmarkEnd w:id="69"/>
    </w:p>
    <w:p w14:paraId="7DE44A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0" w:name="_Toc186124977"/>
      <w:bookmarkStart w:id="71" w:name="_Toc186124152"/>
      <w:bookmarkStart w:id="72" w:name="_Toc186122992"/>
      <w:bookmarkStart w:id="73" w:name="_Toc25155"/>
      <w:bookmarkStart w:id="74" w:name="_Toc21449"/>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3</w:t>
      </w:r>
      <w:r>
        <w:rPr>
          <w:rFonts w:hint="eastAsia" w:ascii="宋体" w:hAnsi="宋体" w:eastAsia="宋体" w:cs="宋体"/>
          <w:b/>
          <w:bCs/>
          <w:color w:val="000000"/>
          <w:sz w:val="28"/>
          <w:szCs w:val="28"/>
          <w:lang w:val="en-US" w:eastAsia="zh-CN"/>
        </w:rPr>
        <w:t xml:space="preserve"> </w:t>
      </w:r>
      <w:bookmarkEnd w:id="70"/>
      <w:bookmarkEnd w:id="71"/>
      <w:bookmarkEnd w:id="72"/>
      <w:r>
        <w:rPr>
          <w:rFonts w:hint="eastAsia" w:ascii="宋体" w:hAnsi="宋体" w:eastAsia="宋体" w:cs="宋体"/>
          <w:b/>
          <w:bCs/>
          <w:color w:val="000000"/>
          <w:sz w:val="28"/>
          <w:szCs w:val="28"/>
          <w:lang w:val="en-US" w:eastAsia="zh-CN"/>
        </w:rPr>
        <w:t>信息报告与通报</w:t>
      </w:r>
      <w:bookmarkEnd w:id="73"/>
      <w:bookmarkEnd w:id="74"/>
    </w:p>
    <w:p w14:paraId="4F3136C2">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4.3.1 信息报告与通报原则及对象</w:t>
      </w:r>
    </w:p>
    <w:p w14:paraId="310D896A">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突发环境事件发生后，涉事企业、生产经营者应当立即向区生态环境局（023-52226422）或区政府（023-52012345）报告事态发展情况和先期处置情况。</w:t>
      </w:r>
    </w:p>
    <w:p w14:paraId="670DEDB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w:t>
      </w:r>
      <w:r>
        <w:rPr>
          <w:rFonts w:hint="eastAsia" w:ascii="宋体" w:hAnsi="宋体" w:eastAsia="宋体" w:cs="宋体"/>
          <w:color w:val="auto"/>
          <w:sz w:val="28"/>
          <w:szCs w:val="28"/>
          <w:lang w:val="en-US" w:eastAsia="zh-CN"/>
        </w:rPr>
        <w:t>人民政府在发现或得知水源地突发环境事件信息后，应立即进行核实，了解有关情况。核实后，第一时间向区指挥部办公室等有关部门或单位报告。经核实的水源地突发环境事件，向突发环境事件相关部门或单位进行信息通报。</w:t>
      </w:r>
      <w:r>
        <w:rPr>
          <w:rFonts w:hint="eastAsia" w:cs="宋体"/>
          <w:color w:val="auto"/>
          <w:sz w:val="28"/>
          <w:szCs w:val="28"/>
          <w:lang w:val="en-US" w:eastAsia="zh-CN"/>
        </w:rPr>
        <w:t>五通乡</w:t>
      </w:r>
      <w:r>
        <w:rPr>
          <w:rFonts w:hint="eastAsia" w:ascii="宋体" w:hAnsi="宋体" w:eastAsia="宋体" w:cs="宋体"/>
          <w:color w:val="auto"/>
          <w:sz w:val="28"/>
          <w:szCs w:val="28"/>
          <w:lang w:val="en-US" w:eastAsia="zh-CN"/>
        </w:rPr>
        <w:t>人民政府有关部门和单位要采取一切措施尽快掌握情况，30分钟内进行电话报告、1小时内进行书面报告。</w:t>
      </w:r>
    </w:p>
    <w:p w14:paraId="7771E9C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发生突发环境事件后，</w:t>
      </w:r>
      <w:r>
        <w:rPr>
          <w:rFonts w:hint="eastAsia" w:cs="宋体"/>
          <w:color w:val="auto"/>
          <w:sz w:val="28"/>
          <w:szCs w:val="28"/>
          <w:lang w:val="en-US" w:eastAsia="zh-CN"/>
        </w:rPr>
        <w:t>五通乡人民政府</w:t>
      </w:r>
      <w:r>
        <w:rPr>
          <w:rFonts w:hint="eastAsia" w:ascii="宋体" w:hAnsi="宋体" w:eastAsia="宋体" w:cs="宋体"/>
          <w:color w:val="auto"/>
          <w:sz w:val="28"/>
          <w:szCs w:val="28"/>
          <w:lang w:val="en-US" w:eastAsia="zh-CN"/>
        </w:rPr>
        <w:t>要及时向区生态环境局</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区政府有关部门通报。因生产安全事故、交通事故、自然灾害等引发突发环境事件的，及时向区应急管理、公安、交通</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生态环境局等有关部门通报。</w:t>
      </w:r>
    </w:p>
    <w:p w14:paraId="17001AF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突发环境事件已经或可能涉及相邻行政区域的，应当及时通报相邻行政区域政府。接到相邻行政区域通报的政府应当及时调查了解情况，并按照相关规定报告突发环境事件信息。</w:t>
      </w:r>
    </w:p>
    <w:p w14:paraId="47A4FE09">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4.3.2 信息报告与通报程序及内容</w:t>
      </w:r>
    </w:p>
    <w:p w14:paraId="7DBE2A3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初报。报告内容主要包括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71639B4A">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续报。在初报的基础上，报告事件及有关处置措施的进展情况。</w:t>
      </w:r>
    </w:p>
    <w:p w14:paraId="128052F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终报。在初报、续报的基础上，报告突发环境事件的处置措施、过程和结果等详细情况。</w:t>
      </w:r>
    </w:p>
    <w:p w14:paraId="37AAEE2F">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5" w:name="_Toc3988"/>
      <w:bookmarkStart w:id="76" w:name="_Toc1876"/>
      <w:r>
        <w:rPr>
          <w:rFonts w:hint="eastAsia" w:ascii="宋体" w:hAnsi="宋体" w:eastAsia="宋体" w:cs="宋体"/>
          <w:b/>
          <w:bCs/>
          <w:color w:val="000000"/>
          <w:sz w:val="28"/>
          <w:szCs w:val="28"/>
          <w:lang w:val="en-US" w:eastAsia="zh-CN"/>
        </w:rPr>
        <w:t>4.4 事态跟踪研判</w:t>
      </w:r>
      <w:bookmarkEnd w:id="75"/>
      <w:bookmarkEnd w:id="76"/>
    </w:p>
    <w:p w14:paraId="378B222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现场应急指挥部组织开展事态跟踪研判。事态跟踪研判包括但不限于以下内容：事故点下游沿河水利设施工程情况、判断污染物进入河流或水库的数量及种类性质、事故点下游水系分布（包括清洁水情况）、距离水源地取水口的距离和可能对水源地造成的危害，以及备用水源地情况。根据事态跟踪研判的结果，制定和动态调整应急响应有关方案、实施应急监测、污染源排查与处置和应急处置方法。</w:t>
      </w:r>
    </w:p>
    <w:p w14:paraId="4947EA0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7" w:name="_Toc16945"/>
      <w:bookmarkStart w:id="78" w:name="_Toc451"/>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.5 应急监测</w:t>
      </w:r>
      <w:bookmarkEnd w:id="77"/>
      <w:bookmarkEnd w:id="78"/>
    </w:p>
    <w:p w14:paraId="379572DC">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4.5.1 开展应急监测程序</w:t>
      </w:r>
    </w:p>
    <w:p w14:paraId="0CFAD8D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初期，各有关部门或单位应按照各自职责，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4C19C8C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事件处置中期，应根据事态发展，如上游来水量、应急处置措施效果等情况，适时调整监测点位（断面）和监测频次。</w:t>
      </w:r>
    </w:p>
    <w:p w14:paraId="4CFE2CA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事件处置末期，应按照现场应急指挥部命令，开展跟踪监测，并向现场应急指挥部提交应急监测总结报告。</w:t>
      </w:r>
    </w:p>
    <w:p w14:paraId="1372BF82">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4.5.2 制定应急监测方案</w:t>
      </w:r>
    </w:p>
    <w:p w14:paraId="1F4AFB7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根据突发事件性质，征询应急专家组意见，编制应急监测方案，内容应包括依据的技术规范、实施人员、布点原则、采样频次和注意事项、监测结果记录和报告方式等。</w:t>
      </w:r>
    </w:p>
    <w:p w14:paraId="7AC5B23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应急监测重点是抓住污染带前峰、峰值位置和浓度变化，对污染带移动过程形成动态监控。当污染来源不明时，应先通过应</w:t>
      </w:r>
    </w:p>
    <w:p w14:paraId="0F9349E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急监测确定特征污染物成分，再进行污染源排查和先期处置。监测范围、布点、频次及监测因子按如下原则进行布置：</w:t>
      </w:r>
    </w:p>
    <w:p w14:paraId="66B613E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（1）监测范围</w:t>
      </w:r>
    </w:p>
    <w:p w14:paraId="02ECB9A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应尽量涵盖水源地突发环境事件的污染范围，并包括事件可能影响区域和污染物本底浓度的监测区域。</w:t>
      </w:r>
    </w:p>
    <w:p w14:paraId="2C9F9A6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（2）监测布点和频次</w:t>
      </w:r>
    </w:p>
    <w:p w14:paraId="16211D5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一般为1小时）同步采样监测方式，动态监控污染带移动过程。</w:t>
      </w:r>
    </w:p>
    <w:p w14:paraId="51D492F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①针对固定源突发环境事件，应对固定源排放口附近水域、下游水源地附近水域进行加密跟踪监测。</w:t>
      </w:r>
    </w:p>
    <w:p w14:paraId="1C4E64F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②针对流动源、非点源突发环境事件，应对事发区域下游水域、下游水源地附近进行加密跟踪监测。</w:t>
      </w:r>
    </w:p>
    <w:p w14:paraId="2D96795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③水华灾害突发事件若发生在一级、二级保护区范围，应对取水口不同水层进行加密跟踪监测。</w:t>
      </w:r>
    </w:p>
    <w:p w14:paraId="3563752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通常采集瞬时样品，采样量根据分析项目及分析方法确定，采样量还应满足留样要求。污染发生后，应首先采集污染源样品，注意采样的代表性。采样频次主要根据现场污染状况确定。事故刚发生时，采样频次可适当增加，待摸清污染物变化规律后，可减少采样频次。依据不同的环境区域功能和事故发生地的污染实际情况，力求以最低的采样频次，取得最有代表性的样品，既满足反映环境污染程度、范围的要求，又切实可行。</w:t>
      </w:r>
    </w:p>
    <w:p w14:paraId="21E724F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（3）现场采样</w:t>
      </w:r>
    </w:p>
    <w:p w14:paraId="7108087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①根据我区实际，配置常用的现场应急监测仪器设备，如检测试纸、快速检测管和便携式检测仪设备。需要时，配置便携式气相色谱仪、便携式红外光谱仪、便携式气相色谱/质谱分析仪等应急监测仪器。</w:t>
      </w:r>
    </w:p>
    <w:p w14:paraId="1647EF1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凡具备现场测定条件的监测项目，应尽量进行现场测定，必要时，另采集一份样品送实验室分析测定，以确认现场的定性或定量分析结果。用检测试纸、快速检测管和便携式仪器进行测定时，应至少连续平行测定两侧，以确认现场测定结果。采样频次应考虑污染程度和现场水文条件，按照应急专家组的意见确定。</w:t>
      </w:r>
    </w:p>
    <w:p w14:paraId="1901439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（4）监测项目。监测因子包括pH值、化学需氧量、氨氮、总磷、总氮等。可根据突发环境事件特征，删减或补充相关监测因子。</w:t>
      </w:r>
    </w:p>
    <w:p w14:paraId="0B2F1F7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（5）监测结果与数据报告。应按照有关监测技术规范进行数据处理。监测结果可用定性、半定量或定量方式报出。监测结果可采用电话、传真、快报、简报、监测报告等形式第一时间报告现场应急指挥部。</w:t>
      </w:r>
    </w:p>
    <w:p w14:paraId="0FE37EA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ascii="Times New Roman" w:hAnsi="Times New Roman" w:eastAsia="方正仿宋_GBK"/>
        </w:rPr>
      </w:pPr>
      <w:r>
        <w:rPr>
          <w:rFonts w:hint="eastAsia" w:ascii="宋体" w:hAnsi="宋体" w:eastAsia="宋体" w:cs="宋体"/>
          <w:color w:val="auto"/>
          <w:sz w:val="28"/>
          <w:szCs w:val="28"/>
          <w:lang w:val="en-US" w:eastAsia="zh-CN"/>
        </w:rPr>
        <w:t>（6）监测数据的质量保证。应急监测过程中的样品采集、现场监测、实验室监测、数据统计等环节，都应有质量控制措施，并对应急监测报告实行三级审核。</w:t>
      </w:r>
    </w:p>
    <w:p w14:paraId="587F4E0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9" w:name="_Toc14966"/>
      <w:bookmarkStart w:id="80" w:name="_Toc186123043"/>
      <w:bookmarkStart w:id="81" w:name="_Toc186122738"/>
      <w:bookmarkStart w:id="82" w:name="_Toc186125031"/>
      <w:bookmarkStart w:id="83" w:name="_Toc4315"/>
      <w:bookmarkStart w:id="84" w:name="_Toc186124196"/>
      <w:r>
        <w:rPr>
          <w:rFonts w:hint="eastAsia" w:ascii="宋体" w:hAnsi="宋体" w:eastAsia="宋体" w:cs="宋体"/>
          <w:b/>
          <w:bCs/>
          <w:color w:val="000000"/>
          <w:sz w:val="28"/>
          <w:szCs w:val="28"/>
          <w:lang w:val="en-US" w:eastAsia="zh-CN"/>
        </w:rPr>
        <w:t>4.6 事故源排查与处置</w:t>
      </w:r>
      <w:bookmarkEnd w:id="79"/>
      <w:bookmarkEnd w:id="80"/>
      <w:bookmarkEnd w:id="81"/>
      <w:bookmarkEnd w:id="82"/>
      <w:bookmarkEnd w:id="83"/>
      <w:bookmarkEnd w:id="84"/>
    </w:p>
    <w:p w14:paraId="44F090B8">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4.6.1 排查对象</w:t>
      </w:r>
    </w:p>
    <w:p w14:paraId="18248F5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水质监测发现异常、污染物来源不确定时，由综合协调组负责开展溯源分析。综合协调组根据应急监测确定特征污染物成分，再结合特征污染物浓度变化、释放总量、释放路径、释放时间，以及当时的水文和气象条件，迅速组织开展事故源排查。针对不同类型污染物的排查重点和对象如下。</w:t>
      </w:r>
    </w:p>
    <w:p w14:paraId="1A36113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（1）有机类、营养盐类污染：重点排查城镇生活污水处理厂、工业企业等的异常情况。</w:t>
      </w:r>
    </w:p>
    <w:p w14:paraId="4EA2BF3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营养盐类污染：重点排查城镇生活污水处理厂、工业企业、畜禽养殖场（户）、农田种植户、农村居民点、医疗场所等，调查污水处理设施运行、养殖废物处理处置、农药化肥施用、农村生活污染、医疗废水处理及消毒设施的异常情况。</w:t>
      </w:r>
    </w:p>
    <w:p w14:paraId="58A1329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（3）细菌类污染：重点排查调查污水处理设施运行、医疗场所等的异常情况。</w:t>
      </w:r>
    </w:p>
    <w:p w14:paraId="7EAD0F1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（4）农药类污染：重点排查农药制造有关的工业企业、果园种植园（户）、农田种植户、农灌退水排放口，调查农药施用和流失的异常情况。</w:t>
      </w:r>
    </w:p>
    <w:p w14:paraId="11979D1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（5）石油类污染：重点排查加油站、运输车辆、运输船舶、油气管线，调查上述企业和单位的异常情况。</w:t>
      </w:r>
    </w:p>
    <w:p w14:paraId="3AB75EA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重金属及其他有毒有害物质污染：重点排查采矿及选矿的工业企业（含化工园区）、尾矿库、危险废物储存单位、危险品仓库和装卸码头、危化品运输船舶、危化品运输车辆等，调查上述企业和单位的异常情况。</w:t>
      </w:r>
    </w:p>
    <w:p w14:paraId="38E223E3">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4.6.2 切断污染源</w:t>
      </w:r>
    </w:p>
    <w:p w14:paraId="0AB8550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涉事企事业单位或其他生产经营者应第一时间启动应急预案，切断固定的、流动的或非点源的污染源或泄漏源，若涉事企事业单位或其他生产经营者无法有效控制污染源，应将污染源信息上报应急处置组，由应急处置组组织实施事故源切断或控制。处置措施主要采取切断污染源、收集和围堵污染物等，包括但不限于以下内容。</w:t>
      </w:r>
    </w:p>
    <w:p w14:paraId="6C12A14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（1）对发生非正常排放或有毒有害物质泄漏的固定源突发环境事件，应尽快采取关闭、封堵、收集、转移等措施，切断污染源或泄漏源。</w:t>
      </w:r>
    </w:p>
    <w:p w14:paraId="363FCD5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（2）对道路交通运输过程中发生的流动源突发事件，可启动路面系统的导流槽、应急池或紧急设置围堰、闸坝等，对污染源进行围堵并收集污染物。</w:t>
      </w:r>
    </w:p>
    <w:p w14:paraId="0D3856D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（3）对水上船舶运输过程中发生的流动源突发事件，主要采取救援打捞、油毡吸附、围油栏等方式，对污染源进行围堵并收集污染物。</w:t>
      </w:r>
    </w:p>
    <w:p w14:paraId="0EE82A3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（4）启动应急收集系统集中收集陆域污染物，设立拦截设施，防止污染物在陆域蔓延，组织有关部门对污染物进行回收处置。</w:t>
      </w:r>
    </w:p>
    <w:p w14:paraId="51FBE52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（5）根据现场事态发展对扩散至水体的污染物进行处置。</w:t>
      </w:r>
    </w:p>
    <w:p w14:paraId="7C0469B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85" w:name="_Toc186123044"/>
      <w:bookmarkStart w:id="86" w:name="_Toc186125032"/>
      <w:bookmarkStart w:id="87" w:name="_Toc186124197"/>
      <w:bookmarkStart w:id="88" w:name="_Toc6985"/>
      <w:bookmarkStart w:id="89" w:name="_Toc8909"/>
      <w:bookmarkStart w:id="90" w:name="_Toc186122739"/>
      <w:bookmarkStart w:id="91" w:name="_Toc28365"/>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.7 应急处置</w:t>
      </w:r>
      <w:bookmarkEnd w:id="85"/>
      <w:bookmarkEnd w:id="86"/>
      <w:bookmarkEnd w:id="87"/>
      <w:bookmarkEnd w:id="88"/>
      <w:bookmarkEnd w:id="89"/>
      <w:bookmarkEnd w:id="90"/>
      <w:bookmarkEnd w:id="91"/>
    </w:p>
    <w:p w14:paraId="02BD70EE">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4.7.1 制定现场处置方案</w:t>
      </w:r>
    </w:p>
    <w:p w14:paraId="6DB11F1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现场应急指挥部应根据污染特征，结合专家组意见，尽快制定现场处置方案。现场处置方案包括但不限于以下内容：应急监测、污染处置措施、物资调集、应急队伍和人员安排、供水单位应对等。采取拦截、导流、疏浚等形式防止水体污染扩大；采取隔离、吸附、打捞、氧化还原、中和、去污洗消、临时收贮、转移异地处置、临时改造污染处置工艺或临时建设污染处置工程等方法处置污染物。必要时，要求其他排污单位停产、限产、限排，减轻环境污染负荷。水源地突发环境事故典型情景及应对处置措施如下。</w:t>
      </w:r>
    </w:p>
    <w:p w14:paraId="4604E35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（1）水华灾害突发事件。</w:t>
      </w:r>
    </w:p>
    <w:p w14:paraId="567CCFD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依据HJ1098水华程度分级标准及相关技术规范，对一级、二级水源保护区发生轻度水华的区域，定期、不定期组织重点水域岸线巡查及湖面观测；在重点水域组织增氧曝气作业，在满足防汛等安全的条件下，加大重点水域水体置换流量，改善水动力条件；加大重点水域藻类拦截、藻水打捞、藻水处理等作业量。对一级、二级水源保护区发生中度水华的区域，驻守重点水域，组织岸线巡查，直至水华消退；加大重点水域增氧曝气作业量；在满足防汛等安全的条件下，持续加大重点水域水体置换流量，改善水动力条件；在驻守处理的基础上，增配人员、物资、设施设备等机动力量，持续加大重点水域藻类拦截、藻水打捞、藻水处理等的作业量；加强湖面观测，及时组织藻类围捕作业。对一级、二级水源保护区的发生重度水华区域，驻守重点水域，加大组织岸线巡查力度，直至水华消退；集中调配人员、物资、设施设备等机动力量，依据水库水域功能分区及敏感程度，以防范藻类水华大面积、高密度堆积，发白发臭为目标，渐次保障重点水域；重点水域持续加大增氧曝气作业量；在满足防汛等安全的条件下，持续加大重点水域水体置换流量，改善水动力条件；藻水打捞、藻水处理等设施设备，保持满负荷运行，驻守湖面观测，持续组织藻类围捕作业。</w:t>
      </w:r>
    </w:p>
    <w:p w14:paraId="5C2F7F3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（2）油类污染事件</w:t>
      </w:r>
    </w:p>
    <w:p w14:paraId="02547A5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油污呈连续带状分布时，在取水口铺设拦油隔离设施，驱离油污，并实时观察反应池和沉淀池池面情况；当出现大量油污，整个水源地油污呈面状分布时，在取水口围油设施内铺设吸油毡，油污进入沉淀池时增加吸油毡铺设，以不进入集水槽为原则；若含油污水进入反应池后半部，一泵停止取水，在取水口水面铺设围油栏，水厂投加粉末活性炭，投率为15公斤/千吨~20公斤/千吨。</w:t>
      </w:r>
    </w:p>
    <w:p w14:paraId="3FC173E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（3）水体内污染物治理、总量或浓度削减</w:t>
      </w:r>
    </w:p>
    <w:p w14:paraId="6258CD0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应急专家组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度。</w:t>
      </w:r>
    </w:p>
    <w:p w14:paraId="58A5ABC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程设施拦截污染水体。结合涉饮用水水源地河流的“一河一图一策”应急响应方案，充分利用流域环境应急设施和空间，在河道内启用或修建拦截坝、节制闸等工程设施拦截污染水体；通过导流渠将未受污染水体导流至污染水体下游，通过分流沟将污染水体分流至水源保护区外进行收集处置；利用前置库、缓冲池等工程设施，降低污染水体的污染物浓度，为应急处置争取时间。</w:t>
      </w:r>
    </w:p>
    <w:p w14:paraId="0456DDA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（5）饮用水水源深度处置。在水质受污染程度不严重的情况，采用深度处理工艺（如臭氧-活性炭技术、生物活性炭技术、膜分离技术等）对来水进行处理，确保水厂出水水质达标。</w:t>
      </w:r>
    </w:p>
    <w:p w14:paraId="4BE9E76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针对污染物可采取的物理、化学、生物处理技术如表</w:t>
      </w:r>
      <w:r>
        <w:rPr>
          <w:rFonts w:hint="eastAsia" w:cs="宋体"/>
          <w:color w:val="auto"/>
          <w:sz w:val="28"/>
          <w:szCs w:val="28"/>
          <w:lang w:val="en-US" w:eastAsia="zh-CN"/>
        </w:rPr>
        <w:t>4.1</w:t>
      </w:r>
      <w:r>
        <w:rPr>
          <w:rFonts w:hint="eastAsia" w:ascii="宋体" w:hAnsi="宋体" w:eastAsia="宋体" w:cs="宋体"/>
          <w:color w:val="auto"/>
          <w:sz w:val="28"/>
          <w:szCs w:val="28"/>
          <w:lang w:val="en-US" w:eastAsia="zh-CN"/>
        </w:rPr>
        <w:t>-1所示。</w:t>
      </w:r>
    </w:p>
    <w:p w14:paraId="19A2881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482" w:firstLineChars="20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4.1-1</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适用于处理不同超标项目的推荐技术</w:t>
      </w:r>
    </w:p>
    <w:tbl>
      <w:tblPr>
        <w:tblStyle w:val="16"/>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3"/>
        <w:gridCol w:w="6481"/>
      </w:tblGrid>
      <w:tr w14:paraId="7A37D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bottom w:val="single" w:color="000000" w:sz="4" w:space="0"/>
              <w:right w:val="single" w:color="000000" w:sz="4" w:space="0"/>
            </w:tcBorders>
            <w:noWrap w:val="0"/>
            <w:vAlign w:val="center"/>
          </w:tcPr>
          <w:p w14:paraId="54F1D472">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超标项目</w:t>
            </w:r>
          </w:p>
        </w:tc>
        <w:tc>
          <w:tcPr>
            <w:tcW w:w="6481" w:type="dxa"/>
            <w:tcBorders>
              <w:left w:val="single" w:color="000000" w:sz="4" w:space="0"/>
              <w:bottom w:val="single" w:color="000000" w:sz="4" w:space="0"/>
            </w:tcBorders>
            <w:noWrap w:val="0"/>
            <w:vAlign w:val="center"/>
          </w:tcPr>
          <w:p w14:paraId="41DC4289">
            <w:pPr>
              <w:pStyle w:val="27"/>
              <w:keepNext w:val="0"/>
              <w:keepLines w:val="0"/>
              <w:pageBreakBefore w:val="0"/>
              <w:widowControl w:val="0"/>
              <w:tabs>
                <w:tab w:val="left" w:pos="556"/>
                <w:tab w:val="left" w:pos="1108"/>
                <w:tab w:val="left" w:pos="1660"/>
              </w:tabs>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推</w:t>
            </w:r>
            <w:r>
              <w:rPr>
                <w:rFonts w:hint="eastAsia" w:ascii="宋体" w:hAnsi="宋体" w:eastAsia="宋体" w:cs="宋体"/>
                <w:sz w:val="21"/>
                <w:szCs w:val="21"/>
              </w:rPr>
              <w:tab/>
            </w:r>
            <w:r>
              <w:rPr>
                <w:rFonts w:hint="eastAsia" w:ascii="宋体" w:hAnsi="宋体" w:eastAsia="宋体" w:cs="宋体"/>
                <w:sz w:val="21"/>
                <w:szCs w:val="21"/>
              </w:rPr>
              <w:t>荐</w:t>
            </w:r>
            <w:r>
              <w:rPr>
                <w:rFonts w:hint="eastAsia" w:ascii="宋体" w:hAnsi="宋体" w:eastAsia="宋体" w:cs="宋体"/>
                <w:sz w:val="21"/>
                <w:szCs w:val="21"/>
              </w:rPr>
              <w:tab/>
            </w:r>
            <w:r>
              <w:rPr>
                <w:rFonts w:hint="eastAsia" w:ascii="宋体" w:hAnsi="宋体" w:eastAsia="宋体" w:cs="宋体"/>
                <w:sz w:val="21"/>
                <w:szCs w:val="21"/>
              </w:rPr>
              <w:t>技</w:t>
            </w:r>
            <w:r>
              <w:rPr>
                <w:rFonts w:hint="eastAsia" w:ascii="宋体" w:hAnsi="宋体" w:eastAsia="宋体" w:cs="宋体"/>
                <w:sz w:val="21"/>
                <w:szCs w:val="21"/>
              </w:rPr>
              <w:tab/>
            </w:r>
            <w:r>
              <w:rPr>
                <w:rFonts w:hint="eastAsia" w:ascii="宋体" w:hAnsi="宋体" w:eastAsia="宋体" w:cs="宋体"/>
                <w:sz w:val="21"/>
                <w:szCs w:val="21"/>
              </w:rPr>
              <w:t>术</w:t>
            </w:r>
          </w:p>
        </w:tc>
      </w:tr>
      <w:tr w14:paraId="701BA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300F091">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浊度</w:t>
            </w:r>
          </w:p>
        </w:tc>
        <w:tc>
          <w:tcPr>
            <w:tcW w:w="6481" w:type="dxa"/>
            <w:tcBorders>
              <w:top w:val="single" w:color="000000" w:sz="4" w:space="0"/>
              <w:left w:val="single" w:color="000000" w:sz="4" w:space="0"/>
              <w:bottom w:val="single" w:color="000000" w:sz="4" w:space="0"/>
            </w:tcBorders>
            <w:noWrap w:val="0"/>
            <w:vAlign w:val="center"/>
          </w:tcPr>
          <w:p w14:paraId="2F7E111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快速砂滤池、絮凝、沉淀、过滤</w:t>
            </w:r>
          </w:p>
        </w:tc>
      </w:tr>
      <w:tr w14:paraId="6CD9E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490B1130">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色度</w:t>
            </w:r>
          </w:p>
        </w:tc>
        <w:tc>
          <w:tcPr>
            <w:tcW w:w="6481" w:type="dxa"/>
            <w:tcBorders>
              <w:top w:val="single" w:color="000000" w:sz="4" w:space="0"/>
              <w:left w:val="single" w:color="000000" w:sz="4" w:space="0"/>
              <w:bottom w:val="single" w:color="000000" w:sz="4" w:space="0"/>
            </w:tcBorders>
            <w:noWrap w:val="0"/>
            <w:vAlign w:val="center"/>
          </w:tcPr>
          <w:p w14:paraId="38DC9726">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9"/>
                <w:sz w:val="21"/>
                <w:szCs w:val="21"/>
                <w:lang w:eastAsia="zh-CN"/>
              </w:rPr>
              <w:t>快速砂滤池、絮凝；活性炭吸附；化学氧化预处理：臭氧、氯、高锰酸钾、</w:t>
            </w:r>
            <w:r>
              <w:rPr>
                <w:rFonts w:hint="eastAsia" w:ascii="宋体" w:hAnsi="宋体" w:eastAsia="宋体" w:cs="宋体"/>
                <w:spacing w:val="-5"/>
                <w:sz w:val="21"/>
                <w:szCs w:val="21"/>
                <w:lang w:eastAsia="zh-CN"/>
              </w:rPr>
              <w:t>二氧化氯</w:t>
            </w:r>
          </w:p>
        </w:tc>
      </w:tr>
      <w:tr w14:paraId="5867F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016DCF2D">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嗅味</w:t>
            </w:r>
          </w:p>
        </w:tc>
        <w:tc>
          <w:tcPr>
            <w:tcW w:w="6481" w:type="dxa"/>
            <w:tcBorders>
              <w:top w:val="single" w:color="000000" w:sz="4" w:space="0"/>
              <w:left w:val="single" w:color="000000" w:sz="4" w:space="0"/>
              <w:bottom w:val="single" w:color="000000" w:sz="4" w:space="0"/>
            </w:tcBorders>
            <w:noWrap w:val="0"/>
            <w:vAlign w:val="center"/>
          </w:tcPr>
          <w:p w14:paraId="1263DEA8">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化学氧化预处理：臭氧、氯、高锰酸钾、二氧化氯、活性炭</w:t>
            </w:r>
          </w:p>
        </w:tc>
      </w:tr>
      <w:tr w14:paraId="35D25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5C7E674B">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氟化物</w:t>
            </w:r>
          </w:p>
        </w:tc>
        <w:tc>
          <w:tcPr>
            <w:tcW w:w="6481" w:type="dxa"/>
            <w:tcBorders>
              <w:top w:val="single" w:color="000000" w:sz="4" w:space="0"/>
              <w:left w:val="single" w:color="000000" w:sz="4" w:space="0"/>
              <w:bottom w:val="single" w:color="000000" w:sz="4" w:space="0"/>
            </w:tcBorders>
            <w:noWrap w:val="0"/>
            <w:vAlign w:val="center"/>
          </w:tcPr>
          <w:p w14:paraId="4BED83C9">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5"/>
                <w:sz w:val="21"/>
                <w:szCs w:val="21"/>
                <w:lang w:eastAsia="zh-CN"/>
              </w:rPr>
              <w:t>吸附法：氧化铝、磷酸二钙；混凝沉淀法：硫酸铝、聚合氯化铝；离子交</w:t>
            </w:r>
            <w:r>
              <w:rPr>
                <w:rFonts w:hint="eastAsia" w:ascii="宋体" w:hAnsi="宋体" w:eastAsia="宋体" w:cs="宋体"/>
                <w:spacing w:val="-6"/>
                <w:sz w:val="21"/>
                <w:szCs w:val="21"/>
                <w:lang w:eastAsia="zh-CN"/>
              </w:rPr>
              <w:t>换法；电渗析法</w:t>
            </w:r>
          </w:p>
        </w:tc>
      </w:tr>
      <w:tr w14:paraId="4C1D0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95265D5">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氨氮</w:t>
            </w:r>
          </w:p>
        </w:tc>
        <w:tc>
          <w:tcPr>
            <w:tcW w:w="6481" w:type="dxa"/>
            <w:tcBorders>
              <w:top w:val="single" w:color="000000" w:sz="4" w:space="0"/>
              <w:left w:val="single" w:color="000000" w:sz="4" w:space="0"/>
              <w:bottom w:val="single" w:color="000000" w:sz="4" w:space="0"/>
            </w:tcBorders>
            <w:noWrap w:val="0"/>
            <w:vAlign w:val="center"/>
          </w:tcPr>
          <w:p w14:paraId="3B729F9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化学氧化预处理：氯、高锰酸钾；深度处理：臭氧-生物活性炭</w:t>
            </w:r>
          </w:p>
        </w:tc>
      </w:tr>
      <w:tr w14:paraId="5D395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69657E5">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铁、锰</w:t>
            </w:r>
          </w:p>
        </w:tc>
        <w:tc>
          <w:tcPr>
            <w:tcW w:w="6481" w:type="dxa"/>
            <w:tcBorders>
              <w:top w:val="single" w:color="000000" w:sz="4" w:space="0"/>
              <w:left w:val="single" w:color="000000" w:sz="4" w:space="0"/>
              <w:bottom w:val="single" w:color="000000" w:sz="4" w:space="0"/>
            </w:tcBorders>
            <w:noWrap w:val="0"/>
            <w:vAlign w:val="center"/>
          </w:tcPr>
          <w:p w14:paraId="0D44FD25">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锰砂；化学氧化预处理：氯、高锰酸钾；深度处理：臭氧-生物活性炭</w:t>
            </w:r>
          </w:p>
        </w:tc>
      </w:tr>
      <w:tr w14:paraId="71B55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BFB929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挥发性有机物</w:t>
            </w:r>
          </w:p>
        </w:tc>
        <w:tc>
          <w:tcPr>
            <w:tcW w:w="6481" w:type="dxa"/>
            <w:tcBorders>
              <w:top w:val="single" w:color="000000" w:sz="4" w:space="0"/>
              <w:left w:val="single" w:color="000000" w:sz="4" w:space="0"/>
              <w:bottom w:val="single" w:color="000000" w:sz="4" w:space="0"/>
            </w:tcBorders>
            <w:noWrap w:val="0"/>
            <w:vAlign w:val="center"/>
          </w:tcPr>
          <w:p w14:paraId="1D2DAFF8">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生物活性炭吸附</w:t>
            </w:r>
          </w:p>
        </w:tc>
      </w:tr>
      <w:tr w14:paraId="3E1E5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jc w:val="center"/>
        </w:trPr>
        <w:tc>
          <w:tcPr>
            <w:tcW w:w="2023" w:type="dxa"/>
            <w:tcBorders>
              <w:top w:val="single" w:color="000000" w:sz="4" w:space="0"/>
              <w:bottom w:val="single" w:color="000000" w:sz="4" w:space="0"/>
              <w:right w:val="single" w:color="000000" w:sz="4" w:space="0"/>
            </w:tcBorders>
            <w:noWrap w:val="0"/>
            <w:vAlign w:val="center"/>
          </w:tcPr>
          <w:p w14:paraId="335EA702">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三氯甲烷和腐殖酸</w:t>
            </w:r>
          </w:p>
        </w:tc>
        <w:tc>
          <w:tcPr>
            <w:tcW w:w="6481" w:type="dxa"/>
            <w:tcBorders>
              <w:top w:val="single" w:color="000000" w:sz="4" w:space="0"/>
              <w:left w:val="single" w:color="000000" w:sz="4" w:space="0"/>
              <w:bottom w:val="single" w:color="000000" w:sz="4" w:space="0"/>
            </w:tcBorders>
            <w:noWrap w:val="0"/>
            <w:vAlign w:val="center"/>
          </w:tcPr>
          <w:p w14:paraId="1A68689E">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2"/>
                <w:sz w:val="21"/>
                <w:szCs w:val="21"/>
                <w:lang w:eastAsia="zh-CN"/>
              </w:rPr>
              <w:t>前驱物的去除：强化混凝、粒状活性炭、生物活性炭；氯化副产物的去除：</w:t>
            </w:r>
            <w:r>
              <w:rPr>
                <w:rFonts w:hint="eastAsia" w:ascii="宋体" w:hAnsi="宋体" w:eastAsia="宋体" w:cs="宋体"/>
                <w:spacing w:val="-5"/>
                <w:sz w:val="21"/>
                <w:szCs w:val="21"/>
                <w:lang w:eastAsia="zh-CN"/>
              </w:rPr>
              <w:t>粒状活性炭</w:t>
            </w:r>
          </w:p>
        </w:tc>
      </w:tr>
      <w:tr w14:paraId="79BE7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75B69E4C">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有机化合物</w:t>
            </w:r>
          </w:p>
        </w:tc>
        <w:tc>
          <w:tcPr>
            <w:tcW w:w="6481" w:type="dxa"/>
            <w:tcBorders>
              <w:top w:val="single" w:color="000000" w:sz="4" w:space="0"/>
              <w:left w:val="single" w:color="000000" w:sz="4" w:space="0"/>
              <w:bottom w:val="single" w:color="000000" w:sz="4" w:space="0"/>
            </w:tcBorders>
            <w:noWrap w:val="0"/>
            <w:vAlign w:val="center"/>
          </w:tcPr>
          <w:p w14:paraId="75D7C13A">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生物活性炭、膜处理</w:t>
            </w:r>
          </w:p>
        </w:tc>
      </w:tr>
      <w:tr w14:paraId="6545C8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4329AD2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细菌和病毒</w:t>
            </w:r>
          </w:p>
        </w:tc>
        <w:tc>
          <w:tcPr>
            <w:tcW w:w="6481" w:type="dxa"/>
            <w:tcBorders>
              <w:top w:val="single" w:color="000000" w:sz="4" w:space="0"/>
              <w:left w:val="single" w:color="000000" w:sz="4" w:space="0"/>
              <w:bottom w:val="single" w:color="000000" w:sz="4" w:space="0"/>
            </w:tcBorders>
            <w:noWrap w:val="0"/>
            <w:vAlign w:val="center"/>
          </w:tcPr>
          <w:p w14:paraId="31E373FD">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6"/>
                <w:sz w:val="21"/>
                <w:szCs w:val="21"/>
                <w:lang w:eastAsia="zh-CN"/>
              </w:rPr>
              <w:t>过滤</w:t>
            </w:r>
            <w:r>
              <w:rPr>
                <w:rFonts w:hint="eastAsia" w:ascii="宋体" w:hAnsi="宋体" w:eastAsia="宋体" w:cs="宋体"/>
                <w:spacing w:val="-25"/>
                <w:sz w:val="21"/>
                <w:szCs w:val="21"/>
                <w:lang w:eastAsia="zh-CN"/>
              </w:rPr>
              <w:t>（</w:t>
            </w:r>
            <w:r>
              <w:rPr>
                <w:rFonts w:hint="eastAsia" w:ascii="宋体" w:hAnsi="宋体" w:eastAsia="宋体" w:cs="宋体"/>
                <w:spacing w:val="-27"/>
                <w:sz w:val="21"/>
                <w:szCs w:val="21"/>
                <w:lang w:eastAsia="zh-CN"/>
              </w:rPr>
              <w:t>部分去除）；</w:t>
            </w:r>
            <w:r>
              <w:rPr>
                <w:rFonts w:hint="eastAsia" w:ascii="宋体" w:hAnsi="宋体" w:eastAsia="宋体" w:cs="宋体"/>
                <w:spacing w:val="-26"/>
                <w:sz w:val="21"/>
                <w:szCs w:val="21"/>
                <w:lang w:eastAsia="zh-CN"/>
              </w:rPr>
              <w:t>消毒处理：氯、二氧化氯、臭氧、膜处理、紫外消毒</w:t>
            </w:r>
          </w:p>
        </w:tc>
      </w:tr>
      <w:tr w14:paraId="6055C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jc w:val="center"/>
        </w:trPr>
        <w:tc>
          <w:tcPr>
            <w:tcW w:w="2023" w:type="dxa"/>
            <w:tcBorders>
              <w:top w:val="single" w:color="000000" w:sz="4" w:space="0"/>
              <w:bottom w:val="single" w:color="000000" w:sz="4" w:space="0"/>
              <w:right w:val="single" w:color="000000" w:sz="4" w:space="0"/>
            </w:tcBorders>
            <w:noWrap w:val="0"/>
            <w:vAlign w:val="center"/>
          </w:tcPr>
          <w:p w14:paraId="37E064A6">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汞、铬等部分重金属</w:t>
            </w:r>
          </w:p>
          <w:p w14:paraId="7BEA8D36">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（应急状态）</w:t>
            </w:r>
          </w:p>
        </w:tc>
        <w:tc>
          <w:tcPr>
            <w:tcW w:w="6481" w:type="dxa"/>
            <w:tcBorders>
              <w:top w:val="single" w:color="000000" w:sz="4" w:space="0"/>
              <w:left w:val="single" w:color="000000" w:sz="4" w:space="0"/>
              <w:bottom w:val="single" w:color="000000" w:sz="4" w:space="0"/>
            </w:tcBorders>
            <w:noWrap w:val="0"/>
            <w:vAlign w:val="center"/>
          </w:tcPr>
          <w:p w14:paraId="7296D43B">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氧化法：高锰酸钾；生物活性炭吸附（部分去除）</w:t>
            </w:r>
          </w:p>
        </w:tc>
      </w:tr>
      <w:tr w14:paraId="0C2EE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jc w:val="center"/>
        </w:trPr>
        <w:tc>
          <w:tcPr>
            <w:tcW w:w="2023" w:type="dxa"/>
            <w:tcBorders>
              <w:top w:val="single" w:color="000000" w:sz="4" w:space="0"/>
              <w:right w:val="single" w:color="000000" w:sz="4" w:space="0"/>
            </w:tcBorders>
            <w:noWrap w:val="0"/>
            <w:vAlign w:val="center"/>
          </w:tcPr>
          <w:p w14:paraId="292E7AD7">
            <w:pPr>
              <w:pStyle w:val="27"/>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藻类及藻毒素</w:t>
            </w:r>
          </w:p>
        </w:tc>
        <w:tc>
          <w:tcPr>
            <w:tcW w:w="6481" w:type="dxa"/>
            <w:tcBorders>
              <w:top w:val="single" w:color="000000" w:sz="4" w:space="0"/>
              <w:left w:val="single" w:color="000000" w:sz="4" w:space="0"/>
            </w:tcBorders>
            <w:noWrap w:val="0"/>
            <w:vAlign w:val="center"/>
          </w:tcPr>
          <w:p w14:paraId="28F1B5FE">
            <w:pPr>
              <w:pStyle w:val="27"/>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4"/>
                <w:sz w:val="21"/>
                <w:szCs w:val="21"/>
                <w:lang w:eastAsia="zh-CN"/>
              </w:rPr>
              <w:t>化学氧化预处理：除藻剂法、高锰酸钾、氯；微滤法；气浮法；臭氧氧化法</w:t>
            </w:r>
          </w:p>
        </w:tc>
      </w:tr>
    </w:tbl>
    <w:p w14:paraId="03413014">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4.7.2 供水安全保障</w:t>
      </w:r>
      <w:bookmarkStart w:id="92" w:name="_Toc4905"/>
    </w:p>
    <w:p w14:paraId="72515D7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出现水源地突发环境事件，应急供水保障组应根据污染物的种类、浓度、可能影响取水口的时间等，及时采取深度处理、低压供水或启动备用水源等应急措施，并加强污染物监测，待水质满足取水要求时恢复取水和供水。无备用水源的，应使用应急供水车等设施保障居民用水。</w:t>
      </w:r>
    </w:p>
    <w:p w14:paraId="2E65E35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93" w:name="_Toc16092"/>
      <w:bookmarkStart w:id="94" w:name="_Toc21287"/>
      <w:bookmarkStart w:id="95" w:name="_Toc186123045"/>
      <w:bookmarkStart w:id="96" w:name="_Toc186124198"/>
      <w:bookmarkStart w:id="97" w:name="_Toc186122740"/>
      <w:bookmarkStart w:id="98" w:name="_Toc186125033"/>
      <w:r>
        <w:rPr>
          <w:rFonts w:hint="eastAsia" w:ascii="宋体" w:hAnsi="宋体" w:eastAsia="宋体" w:cs="宋体"/>
          <w:b/>
          <w:bCs/>
          <w:color w:val="000000"/>
          <w:sz w:val="28"/>
          <w:szCs w:val="28"/>
          <w:lang w:val="en-US" w:eastAsia="zh-CN"/>
        </w:rPr>
        <w:t>4.8 物资调集及应急设施启用</w:t>
      </w:r>
      <w:bookmarkEnd w:id="92"/>
      <w:bookmarkEnd w:id="93"/>
      <w:bookmarkEnd w:id="94"/>
      <w:bookmarkEnd w:id="95"/>
      <w:bookmarkEnd w:id="96"/>
      <w:bookmarkEnd w:id="97"/>
      <w:bookmarkEnd w:id="98"/>
    </w:p>
    <w:p w14:paraId="2A2A0E81">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应急物资、装备由综合协调组进行统一协调调配。</w:t>
      </w:r>
    </w:p>
    <w:p w14:paraId="2D42DE7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99" w:name="_Toc186124199"/>
      <w:bookmarkStart w:id="100" w:name="_Toc25581"/>
      <w:bookmarkStart w:id="101" w:name="_Toc25284"/>
      <w:bookmarkStart w:id="102" w:name="_Toc186122741"/>
      <w:bookmarkStart w:id="103" w:name="_Toc186125034"/>
      <w:bookmarkStart w:id="104" w:name="_Toc31212"/>
      <w:bookmarkStart w:id="105" w:name="_Toc186123046"/>
      <w:r>
        <w:rPr>
          <w:rFonts w:hint="eastAsia" w:ascii="宋体" w:hAnsi="宋体" w:eastAsia="宋体" w:cs="宋体"/>
          <w:b/>
          <w:bCs/>
          <w:color w:val="000000"/>
          <w:sz w:val="28"/>
          <w:szCs w:val="28"/>
          <w:lang w:val="en-US" w:eastAsia="zh-CN"/>
        </w:rPr>
        <w:t>4.9 舆情监测与信息发布</w:t>
      </w:r>
      <w:bookmarkEnd w:id="99"/>
      <w:bookmarkEnd w:id="100"/>
      <w:bookmarkEnd w:id="101"/>
      <w:bookmarkEnd w:id="102"/>
      <w:bookmarkEnd w:id="103"/>
      <w:bookmarkEnd w:id="104"/>
      <w:bookmarkEnd w:id="105"/>
    </w:p>
    <w:p w14:paraId="2F6B5EC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合协调组负责及时按规定通过新闻媒体发布饮用水水源地突发污染事件处置的相关信息，监控、引导社会舆情。现场应急指挥部在突发环境事件发生后，应第一时间通过政府发布新闻通稿、举行新闻发布会等多种形式，借助电视、广播、报纸、网络等多种途径，运用微博、微信、移动客户端等新媒体平台，主动、及时、准确、客观地向社会发布突发环境事件有关信息，回应社会关切，澄清不实信息，正确引导社会舆论。发布内容包括事件原因、影响区域、已采取的措施及成效、公众应注意的防范措施、热线电话等。</w:t>
      </w:r>
    </w:p>
    <w:p w14:paraId="24DA5B98">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6" w:name="_Toc1903"/>
      <w:bookmarkStart w:id="107" w:name="_Toc186125035"/>
      <w:bookmarkStart w:id="108" w:name="_Toc29263"/>
      <w:bookmarkStart w:id="109" w:name="_Toc186122742"/>
      <w:bookmarkStart w:id="110" w:name="_Toc186124200"/>
      <w:bookmarkStart w:id="111" w:name="_Toc19502"/>
      <w:bookmarkStart w:id="112" w:name="_Toc186123047"/>
      <w:r>
        <w:rPr>
          <w:rFonts w:hint="eastAsia" w:ascii="宋体" w:hAnsi="宋体" w:eastAsia="宋体" w:cs="宋体"/>
          <w:b/>
          <w:bCs/>
          <w:color w:val="000000"/>
          <w:sz w:val="28"/>
          <w:szCs w:val="28"/>
          <w:lang w:val="en-US" w:eastAsia="zh-CN"/>
        </w:rPr>
        <w:t>4.10 响应终止</w:t>
      </w:r>
      <w:bookmarkEnd w:id="106"/>
      <w:bookmarkEnd w:id="107"/>
      <w:bookmarkEnd w:id="108"/>
      <w:bookmarkEnd w:id="109"/>
      <w:bookmarkEnd w:id="110"/>
      <w:bookmarkEnd w:id="111"/>
      <w:bookmarkEnd w:id="112"/>
    </w:p>
    <w:p w14:paraId="390385E8">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符合下列情形之一的，可终止应急响应。</w:t>
      </w:r>
    </w:p>
    <w:p w14:paraId="76DCDB4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（1）进入水源保护区陆域范围的污染物已成功围堵，且清运至水源保护区外，未向水域扩散时；</w:t>
      </w:r>
    </w:p>
    <w:p w14:paraId="2A5F503C">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（2）进入水源保护区水域范围的污染团已成功拦截或导流至水源保护区外，没有向取水口扩散的风险，且水质监测结果稳定达标；</w:t>
      </w:r>
    </w:p>
    <w:p w14:paraId="0F32D40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（3）水质监测结果尚未稳定达标，但根据应急专家组建议可以恢复正常取水时。</w:t>
      </w:r>
    </w:p>
    <w:p w14:paraId="0BA3B44C">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由专家组进行综合评估，在符合解除应急响应的条件后，提出响应终止的建议，由区指挥部批准同意响应终止。</w:t>
      </w:r>
    </w:p>
    <w:p w14:paraId="41FE0654">
      <w:p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br w:type="page"/>
      </w:r>
    </w:p>
    <w:p w14:paraId="0D50696E">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default" w:ascii="宋体" w:hAnsi="宋体" w:eastAsia="宋体" w:cs="宋体"/>
          <w:b/>
          <w:bCs/>
          <w:color w:val="000000"/>
          <w:sz w:val="32"/>
          <w:szCs w:val="32"/>
          <w:lang w:val="en-US" w:eastAsia="zh-CN"/>
        </w:rPr>
      </w:pPr>
      <w:bookmarkStart w:id="113" w:name="_Toc186124984"/>
      <w:bookmarkStart w:id="114" w:name="_Toc186124159"/>
      <w:bookmarkStart w:id="115" w:name="_Toc21114"/>
      <w:bookmarkStart w:id="116" w:name="_Toc31622"/>
      <w:r>
        <w:rPr>
          <w:rStyle w:val="19"/>
          <w:rFonts w:hint="eastAsia" w:cs="宋体"/>
          <w:b/>
          <w:bCs/>
          <w:color w:val="000000"/>
          <w:sz w:val="32"/>
          <w:szCs w:val="32"/>
          <w:lang w:val="en-US" w:eastAsia="zh-CN"/>
        </w:rPr>
        <w:t>5</w:t>
      </w:r>
      <w:r>
        <w:rPr>
          <w:rStyle w:val="19"/>
          <w:rFonts w:hint="eastAsia" w:ascii="宋体" w:hAnsi="宋体" w:eastAsia="宋体" w:cs="宋体"/>
          <w:b/>
          <w:bCs/>
          <w:color w:val="000000"/>
          <w:sz w:val="32"/>
          <w:szCs w:val="32"/>
          <w:lang w:val="en-US" w:eastAsia="zh-CN"/>
        </w:rPr>
        <w:t xml:space="preserve"> </w:t>
      </w:r>
      <w:bookmarkEnd w:id="113"/>
      <w:bookmarkEnd w:id="114"/>
      <w:r>
        <w:rPr>
          <w:rStyle w:val="19"/>
          <w:rFonts w:hint="eastAsia" w:cs="宋体"/>
          <w:b/>
          <w:bCs/>
          <w:color w:val="000000"/>
          <w:sz w:val="32"/>
          <w:szCs w:val="32"/>
          <w:lang w:val="en-US" w:eastAsia="zh-CN"/>
        </w:rPr>
        <w:t>后期工作</w:t>
      </w:r>
      <w:bookmarkEnd w:id="115"/>
      <w:bookmarkEnd w:id="116"/>
    </w:p>
    <w:p w14:paraId="5D44D45A">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7" w:name="_Toc10713"/>
      <w:bookmarkStart w:id="118" w:name="_Toc26547"/>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.1 后期防控</w:t>
      </w:r>
      <w:bookmarkEnd w:id="117"/>
      <w:bookmarkEnd w:id="118"/>
      <w:bookmarkStart w:id="119" w:name="_Toc27647"/>
    </w:p>
    <w:p w14:paraId="067C7A6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后期防控主要包括：</w:t>
      </w:r>
    </w:p>
    <w:p w14:paraId="013EA244">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（1）油品、化学品污染环境净化和消洗</w:t>
      </w:r>
    </w:p>
    <w:p w14:paraId="722EFF1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油品、化学品能重新利用的则应回收再利用；不能重新利用的，可交有资质的单位处置；农药等毒性物质尽可能交与有资质的危险废物处理的单位净化处置。把消防毒剂水溶液装于消防车水罐，经消防泵加压后，通过水带、水枪以开花或喷雾水流喷洒。用吸附垫、活性炭等具有吸附能力的物质，吸附回收后转移委托有资质的单位处置，也可用喷射雾状水进行稀释降毒。受污染水体抽吸进入活性炭设施，净化处理达标后排入污水处理站，废弃活性炭委托有资质的单位处置。</w:t>
      </w:r>
    </w:p>
    <w:p w14:paraId="11B28705">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（2）被油品、化学品污染的河道或水库岸线</w:t>
      </w:r>
    </w:p>
    <w:p w14:paraId="52E8A98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对污染产生的死鱼、动物等进行打捞收集，并依法依规消毒填埋处理；使用洒消油剂或吸附剂进行消除；使用刷子或吸尘器除去颗粒性污染物，或使用简单工具收集被污染沙石至容器内，按危险固废处置。</w:t>
      </w:r>
    </w:p>
    <w:p w14:paraId="0ED746FB">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（3）被污染的土壤</w:t>
      </w:r>
    </w:p>
    <w:p w14:paraId="2B518283">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使用简单工具将表层剥离装入容器，并委托具备处理资质的单位净化处置；若环境不允许挖掘或清除大量土壤时，可使用物理、化学或生物方法消除。</w:t>
      </w:r>
    </w:p>
    <w:p w14:paraId="4784C2C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（4）清理的藻类</w:t>
      </w:r>
    </w:p>
    <w:p w14:paraId="50F63AA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藻类捕捞后运送到保护区外指定场所堆放，并采用沼气发生池、搅拌发酵、除臭分解等无害化处理手段，使之成为可利用的能源或有机肥料。</w:t>
      </w:r>
    </w:p>
    <w:p w14:paraId="0D56C8F3">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0" w:name="_Toc16331"/>
      <w:bookmarkStart w:id="121" w:name="_Toc7612"/>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.2 事件调查</w:t>
      </w:r>
      <w:bookmarkEnd w:id="119"/>
      <w:bookmarkEnd w:id="120"/>
      <w:bookmarkEnd w:id="121"/>
      <w:bookmarkStart w:id="122" w:name="_Toc7881"/>
    </w:p>
    <w:p w14:paraId="2E72AB0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根据事件调查的有关规定</w:t>
      </w:r>
      <w:r>
        <w:rPr>
          <w:rFonts w:hint="eastAsia" w:cs="宋体"/>
          <w:color w:val="auto"/>
          <w:sz w:val="28"/>
          <w:szCs w:val="28"/>
          <w:lang w:val="en-US" w:eastAsia="zh-CN"/>
        </w:rPr>
        <w:t>五通乡应协助开展事件调查</w:t>
      </w:r>
      <w:r>
        <w:rPr>
          <w:rFonts w:hint="eastAsia" w:ascii="宋体" w:hAnsi="宋体" w:eastAsia="宋体" w:cs="宋体"/>
          <w:color w:val="auto"/>
          <w:sz w:val="28"/>
          <w:szCs w:val="28"/>
          <w:lang w:val="en-US" w:eastAsia="zh-CN"/>
        </w:rPr>
        <w:t>，一般或较大环境事件应由区生态环境局牵头，有关部门配合，组织开展事件调查，查明事件原因和性质，提出整改防范措施和处理建议。相关单位或企业应积极整改，并形成整改反馈报告。重大或特别重大事件由市政府或市政府指定部门组织调查。</w:t>
      </w:r>
    </w:p>
    <w:p w14:paraId="3A866242">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3" w:name="_Toc27055"/>
      <w:bookmarkStart w:id="124" w:name="_Toc1384"/>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.3 损害评估</w:t>
      </w:r>
      <w:bookmarkEnd w:id="122"/>
      <w:bookmarkEnd w:id="123"/>
      <w:bookmarkEnd w:id="124"/>
      <w:bookmarkStart w:id="125" w:name="_Toc24184"/>
    </w:p>
    <w:p w14:paraId="65979E50">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根据有关规定，</w:t>
      </w:r>
      <w:r>
        <w:rPr>
          <w:rFonts w:hint="eastAsia" w:cs="宋体"/>
          <w:color w:val="auto"/>
          <w:sz w:val="28"/>
          <w:szCs w:val="28"/>
          <w:lang w:val="en-US" w:eastAsia="zh-CN"/>
        </w:rPr>
        <w:t>五通乡</w:t>
      </w:r>
      <w:r>
        <w:rPr>
          <w:rFonts w:hint="eastAsia" w:ascii="宋体" w:hAnsi="宋体" w:eastAsia="宋体" w:cs="宋体"/>
          <w:color w:val="auto"/>
          <w:sz w:val="28"/>
          <w:szCs w:val="28"/>
          <w:lang w:val="en-US" w:eastAsia="zh-CN"/>
        </w:rPr>
        <w:t>督促造成水源地突发环境事件及污染的个人或单位及时组织开展污染损害评估，并将经评审后的评估结果向社会公布。若造成水源地突发环境事件及污染的个人或单位不明确，应由</w:t>
      </w:r>
      <w:r>
        <w:rPr>
          <w:rFonts w:hint="eastAsia" w:cs="宋体"/>
          <w:color w:val="auto"/>
          <w:sz w:val="28"/>
          <w:szCs w:val="28"/>
          <w:lang w:val="en-US" w:eastAsia="zh-CN"/>
        </w:rPr>
        <w:t>五通乡</w:t>
      </w:r>
      <w:r>
        <w:rPr>
          <w:rFonts w:hint="eastAsia" w:ascii="宋体" w:hAnsi="宋体" w:eastAsia="宋体" w:cs="宋体"/>
          <w:color w:val="auto"/>
          <w:sz w:val="28"/>
          <w:szCs w:val="28"/>
          <w:lang w:val="en-US" w:eastAsia="zh-CN"/>
        </w:rPr>
        <w:t>组织开展污染损害评估，并将经评审后的评估结果向社会公布。</w:t>
      </w:r>
    </w:p>
    <w:p w14:paraId="5F202DD6">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6" w:name="_Toc19281"/>
      <w:bookmarkStart w:id="127" w:name="_Toc25196"/>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.4 善后处置</w:t>
      </w:r>
      <w:bookmarkEnd w:id="125"/>
      <w:bookmarkEnd w:id="126"/>
      <w:bookmarkEnd w:id="127"/>
    </w:p>
    <w:p w14:paraId="693908A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w:t>
      </w:r>
      <w:r>
        <w:rPr>
          <w:rFonts w:hint="eastAsia" w:cs="宋体"/>
          <w:color w:val="auto"/>
          <w:sz w:val="28"/>
          <w:szCs w:val="28"/>
          <w:lang w:val="en-US" w:eastAsia="zh-CN"/>
        </w:rPr>
        <w:t>五通乡</w:t>
      </w:r>
      <w:r>
        <w:rPr>
          <w:rFonts w:hint="eastAsia" w:ascii="宋体" w:hAnsi="宋体" w:eastAsia="宋体" w:cs="宋体"/>
          <w:color w:val="auto"/>
          <w:sz w:val="28"/>
          <w:szCs w:val="28"/>
          <w:lang w:val="en-US" w:eastAsia="zh-CN"/>
        </w:rPr>
        <w:t>督促肇事单位按照政策规定，对事故伤亡人员给予赔付救治，对伤者及伤亡人员家属进行精神安抚；相关部门按照各自职责进行指导。按照国家规定组织制定补助、补偿、抚慰、抚恤、安置和环境恢复等善后工作方案，并按照法定程序实施。对紧急征用的物资和调集的社会力量按照有关规定予以结算和补偿。保险机构及时开展相关理赔工作。肇事单位必须对风险隐患进行整改，防止风险源再次引发水污染事件，对涉及的污染场地进行修复，满足相关要求，并对造成社会损害的进行依法赔偿。</w:t>
      </w:r>
      <w:r>
        <w:rPr>
          <w:rFonts w:hint="eastAsia" w:ascii="宋体" w:hAnsi="宋体" w:eastAsia="宋体" w:cs="宋体"/>
          <w:color w:val="auto"/>
          <w:sz w:val="28"/>
          <w:szCs w:val="28"/>
          <w:lang w:val="en-US" w:eastAsia="zh-CN"/>
        </w:rPr>
        <w:br w:type="page"/>
      </w:r>
    </w:p>
    <w:p w14:paraId="52B46A7B">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eastAsia" w:ascii="宋体" w:hAnsi="宋体" w:eastAsia="宋体" w:cs="宋体"/>
          <w:b/>
          <w:bCs/>
          <w:color w:val="000000"/>
          <w:sz w:val="32"/>
          <w:szCs w:val="32"/>
          <w:lang w:val="en-US" w:eastAsia="zh-CN"/>
        </w:rPr>
      </w:pPr>
      <w:bookmarkStart w:id="128" w:name="_Toc10277"/>
      <w:bookmarkStart w:id="129" w:name="_Toc29702"/>
      <w:bookmarkStart w:id="130" w:name="_Toc186124165"/>
      <w:bookmarkStart w:id="131" w:name="_Toc186124990"/>
      <w:r>
        <w:rPr>
          <w:rStyle w:val="19"/>
          <w:rFonts w:hint="eastAsia" w:cs="宋体"/>
          <w:b/>
          <w:bCs/>
          <w:color w:val="000000"/>
          <w:sz w:val="32"/>
          <w:szCs w:val="32"/>
          <w:lang w:val="en-US" w:eastAsia="zh-CN"/>
        </w:rPr>
        <w:t>6</w:t>
      </w:r>
      <w:r>
        <w:rPr>
          <w:rStyle w:val="19"/>
          <w:rFonts w:hint="eastAsia" w:ascii="宋体" w:hAnsi="宋体" w:eastAsia="宋体" w:cs="宋体"/>
          <w:b/>
          <w:bCs/>
          <w:color w:val="000000"/>
          <w:sz w:val="32"/>
          <w:szCs w:val="32"/>
          <w:lang w:val="en-US" w:eastAsia="zh-CN"/>
        </w:rPr>
        <w:t xml:space="preserve"> 应急保障</w:t>
      </w:r>
      <w:bookmarkEnd w:id="128"/>
      <w:bookmarkEnd w:id="129"/>
      <w:bookmarkEnd w:id="130"/>
      <w:bookmarkEnd w:id="131"/>
    </w:p>
    <w:p w14:paraId="0E52D8F1">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32" w:name="_Toc186124166"/>
      <w:bookmarkStart w:id="133" w:name="_Toc3718"/>
      <w:bookmarkStart w:id="134" w:name="_Toc13854"/>
      <w:bookmarkStart w:id="135" w:name="_Toc186123003"/>
      <w:bookmarkStart w:id="136" w:name="_Toc186124991"/>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.1 队伍保障</w:t>
      </w:r>
      <w:bookmarkEnd w:id="132"/>
      <w:bookmarkEnd w:id="133"/>
      <w:bookmarkEnd w:id="134"/>
      <w:bookmarkEnd w:id="135"/>
      <w:bookmarkEnd w:id="136"/>
    </w:p>
    <w:p w14:paraId="09F2925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五通乡人民政府</w:t>
      </w:r>
      <w:r>
        <w:rPr>
          <w:rFonts w:hint="eastAsia" w:ascii="宋体" w:hAnsi="宋体" w:eastAsia="宋体" w:cs="宋体"/>
          <w:color w:val="auto"/>
          <w:sz w:val="28"/>
          <w:szCs w:val="28"/>
          <w:lang w:val="en-US" w:eastAsia="zh-CN"/>
        </w:rPr>
        <w:t>有关部门和单位要加强环境应急救援队伍能力建设。环境监测队伍、消防救援队伍、大型国有骨干企业应急救援队伍及其他相关方面应急救援队伍，要积极参加突发环境事件的应急监测、应急处置、调查处理等工作，提高响应能力和应对能力。要加强环境应急专家队伍管理，为制定突发环境事件应急处置方案、评估污染损害、开展调查处理等工作提供决策建议。</w:t>
      </w:r>
    </w:p>
    <w:p w14:paraId="669A0B6D">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37" w:name="_Toc186124167"/>
      <w:bookmarkStart w:id="138" w:name="_Toc13657"/>
      <w:bookmarkStart w:id="139" w:name="_Toc186123004"/>
      <w:bookmarkStart w:id="140" w:name="_Toc186124992"/>
      <w:bookmarkStart w:id="141" w:name="_Toc25080"/>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.2 物资、装备与资金保障</w:t>
      </w:r>
      <w:bookmarkEnd w:id="137"/>
      <w:bookmarkEnd w:id="138"/>
      <w:bookmarkEnd w:id="139"/>
      <w:bookmarkEnd w:id="140"/>
      <w:bookmarkEnd w:id="141"/>
    </w:p>
    <w:p w14:paraId="3E8014B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五通乡人民政府</w:t>
      </w:r>
      <w:r>
        <w:rPr>
          <w:rFonts w:hint="eastAsia" w:ascii="宋体" w:hAnsi="宋体" w:eastAsia="宋体" w:cs="宋体"/>
          <w:color w:val="auto"/>
          <w:sz w:val="28"/>
          <w:szCs w:val="28"/>
          <w:lang w:val="en-US" w:eastAsia="zh-CN"/>
        </w:rPr>
        <w:t>有关部门和有关单位要结合辖区内环境风险特征，分级、分类储备污染源切断、污染物控制、污染物收集、污染物降解、安全防护、应急通信和指挥以及应急监测等物资装备，鼓励支持社会化应急储备，保障应急装备、应急物资、生活必需品的生产、存储、调拨、供给。要加强对环境应急装备和物资储备的动态管理，将环境应急物资储备统筹纳入应急物资库建设。区财政局要保障突发环境事件应对工作所需必要经费。</w:t>
      </w:r>
    </w:p>
    <w:p w14:paraId="7BF28199">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42" w:name="_Toc17286"/>
      <w:bookmarkStart w:id="143" w:name="_Toc186124168"/>
      <w:bookmarkStart w:id="144" w:name="_Toc186123005"/>
      <w:bookmarkStart w:id="145" w:name="_Toc347"/>
      <w:bookmarkStart w:id="146" w:name="_Toc186124993"/>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.3 通信、交通与运输保障</w:t>
      </w:r>
      <w:bookmarkEnd w:id="142"/>
      <w:bookmarkEnd w:id="143"/>
      <w:bookmarkEnd w:id="144"/>
      <w:bookmarkEnd w:id="145"/>
      <w:bookmarkEnd w:id="146"/>
    </w:p>
    <w:p w14:paraId="7E4C5B87">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五通乡人民政府</w:t>
      </w:r>
      <w:r>
        <w:rPr>
          <w:rFonts w:hint="eastAsia" w:ascii="宋体" w:hAnsi="宋体" w:eastAsia="宋体" w:cs="宋体"/>
          <w:color w:val="auto"/>
          <w:sz w:val="28"/>
          <w:szCs w:val="28"/>
          <w:lang w:val="en-US" w:eastAsia="zh-CN"/>
        </w:rPr>
        <w:t>要建立健全突发环境事件应急通信保障体系，确保应急期间通信联络和信息传递需要。</w:t>
      </w:r>
    </w:p>
    <w:p w14:paraId="47BBF606">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五通乡人民政府协助</w:t>
      </w:r>
      <w:r>
        <w:rPr>
          <w:rFonts w:hint="eastAsia" w:ascii="宋体" w:hAnsi="宋体" w:eastAsia="宋体" w:cs="宋体"/>
          <w:color w:val="auto"/>
          <w:sz w:val="28"/>
          <w:szCs w:val="28"/>
          <w:lang w:val="en-US" w:eastAsia="zh-CN"/>
        </w:rPr>
        <w:t>区交通运输委要健全公路、水运、铁路紧急运输保障体系，保障应急响应所需人员、物资、装备、器材等的运输。</w:t>
      </w:r>
    </w:p>
    <w:p w14:paraId="6BB387FA">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五通乡人民政府协助</w:t>
      </w:r>
      <w:r>
        <w:rPr>
          <w:rFonts w:hint="eastAsia" w:ascii="宋体" w:hAnsi="宋体" w:eastAsia="宋体" w:cs="宋体"/>
          <w:color w:val="auto"/>
          <w:sz w:val="28"/>
          <w:szCs w:val="28"/>
          <w:lang w:val="en-US" w:eastAsia="zh-CN"/>
        </w:rPr>
        <w:t>区公安局要加强应急交通管理，保障运送伤病员、应急救援人员、物资、装备、器材车辆的优先通行。</w:t>
      </w:r>
    </w:p>
    <w:p w14:paraId="35B170C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47" w:name="_Toc12696"/>
      <w:bookmarkStart w:id="148" w:name="_Toc186124994"/>
      <w:bookmarkStart w:id="149" w:name="_Toc186124169"/>
      <w:bookmarkStart w:id="150" w:name="_Toc31802"/>
      <w:bookmarkStart w:id="151" w:name="_Toc186123006"/>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.4 技术保障</w:t>
      </w:r>
      <w:bookmarkEnd w:id="147"/>
      <w:bookmarkEnd w:id="148"/>
      <w:bookmarkEnd w:id="149"/>
      <w:bookmarkEnd w:id="150"/>
      <w:bookmarkEnd w:id="151"/>
    </w:p>
    <w:p w14:paraId="3589CC3F">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五通乡人民政府</w:t>
      </w:r>
      <w:r>
        <w:rPr>
          <w:rFonts w:hint="eastAsia" w:ascii="宋体" w:hAnsi="宋体" w:eastAsia="宋体" w:cs="宋体"/>
          <w:color w:val="auto"/>
          <w:sz w:val="28"/>
          <w:szCs w:val="28"/>
          <w:lang w:val="en-US" w:eastAsia="zh-CN"/>
        </w:rPr>
        <w:t>要加强环境应急指挥系统的优化，依托环境应急指挥技术平台，实现信息综合集成、分析处理、污染损害评估的智能化和数字化。财政</w:t>
      </w:r>
      <w:r>
        <w:rPr>
          <w:rFonts w:hint="eastAsia" w:cs="宋体"/>
          <w:color w:val="auto"/>
          <w:sz w:val="28"/>
          <w:szCs w:val="28"/>
          <w:lang w:val="en-US" w:eastAsia="zh-CN"/>
        </w:rPr>
        <w:t>部门</w:t>
      </w:r>
      <w:r>
        <w:rPr>
          <w:rFonts w:hint="eastAsia" w:ascii="宋体" w:hAnsi="宋体" w:eastAsia="宋体" w:cs="宋体"/>
          <w:color w:val="auto"/>
          <w:sz w:val="28"/>
          <w:szCs w:val="28"/>
          <w:lang w:val="en-US" w:eastAsia="zh-CN"/>
        </w:rPr>
        <w:t>及相关部门要支持先进技术和装备的研发。同时，</w:t>
      </w:r>
      <w:r>
        <w:rPr>
          <w:rFonts w:hint="eastAsia" w:cs="宋体"/>
          <w:color w:val="auto"/>
          <w:sz w:val="28"/>
          <w:szCs w:val="28"/>
          <w:lang w:val="en-US" w:eastAsia="zh-CN"/>
        </w:rPr>
        <w:t>五通乡人民政府应急</w:t>
      </w:r>
      <w:r>
        <w:rPr>
          <w:rFonts w:hint="eastAsia" w:ascii="宋体" w:hAnsi="宋体" w:eastAsia="宋体" w:cs="宋体"/>
          <w:color w:val="auto"/>
          <w:sz w:val="28"/>
          <w:szCs w:val="28"/>
          <w:lang w:val="en-US" w:eastAsia="zh-CN"/>
        </w:rPr>
        <w:t>指挥部各成员单位应当根据职责在部门应急预案中纳入预防引发环境污染事故及次生、衍生突发环境事件的有关内容，建立完善有关防范水环境污染的基本信息。主要包括：</w:t>
      </w:r>
    </w:p>
    <w:p w14:paraId="43E95F5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（1）流域水系河流数量和分布图，水文参数、水质现状、流域人口、饮用水源保护区等基本信息。</w:t>
      </w:r>
    </w:p>
    <w:p w14:paraId="55DDF149">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（2）工业和农业生产、使用、贮存、销售、运输的环境风险物质的种类、数量、贮存位置及防范措施。</w:t>
      </w:r>
    </w:p>
    <w:p w14:paraId="193CD32D">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（3）工业、生活、畜禽养殖等污染源的排放、数量及分布情况。</w:t>
      </w:r>
    </w:p>
    <w:p w14:paraId="56266D2E">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（4）要落实“找空间、定方案、抓演练”三个要素，编制流域“一河一策一图”环境应急响应方案，提前做好技术保障应急准备。</w:t>
      </w:r>
    </w:p>
    <w:p w14:paraId="1CCA5992">
      <w:pPr>
        <w:pStyle w:val="8"/>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参与应急处置的有关单位要开展突发环境污染的污染分析、扩散模型和风险评估研究工作，完善各类应急预案，确保应急处置科学、规范、安全。</w:t>
      </w:r>
    </w:p>
    <w:p w14:paraId="5B863A80">
      <w:pPr>
        <w:rPr>
          <w:rFonts w:hint="default" w:ascii="宋体" w:hAnsi="宋体" w:eastAsia="宋体" w:cs="宋体"/>
          <w:color w:val="auto"/>
          <w:kern w:val="2"/>
          <w:sz w:val="28"/>
          <w:szCs w:val="28"/>
          <w:lang w:val="en-US" w:eastAsia="zh-CN" w:bidi="ar-SA"/>
        </w:rPr>
      </w:pPr>
      <w:r>
        <w:rPr>
          <w:rFonts w:hint="default" w:ascii="宋体" w:hAnsi="宋体" w:eastAsia="宋体" w:cs="宋体"/>
          <w:color w:val="auto"/>
          <w:kern w:val="2"/>
          <w:sz w:val="28"/>
          <w:szCs w:val="28"/>
          <w:lang w:val="en-US" w:eastAsia="zh-CN" w:bidi="ar-SA"/>
        </w:rPr>
        <w:br w:type="page"/>
      </w:r>
    </w:p>
    <w:p w14:paraId="1BE557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52" w:name="_Toc8967"/>
      <w:bookmarkStart w:id="153" w:name="_Toc21493"/>
      <w:bookmarkStart w:id="154" w:name="_Toc11776"/>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 xml:space="preserve"> 监督管理</w:t>
      </w:r>
      <w:bookmarkEnd w:id="152"/>
      <w:bookmarkEnd w:id="153"/>
      <w:bookmarkEnd w:id="154"/>
    </w:p>
    <w:p w14:paraId="10F32B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55" w:name="_Toc20048"/>
      <w:bookmarkStart w:id="156" w:name="_Toc19317"/>
      <w:bookmarkStart w:id="157" w:name="_Toc14704"/>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.1 应急预案演练</w:t>
      </w:r>
      <w:bookmarkEnd w:id="155"/>
      <w:bookmarkEnd w:id="156"/>
      <w:bookmarkEnd w:id="157"/>
    </w:p>
    <w:p w14:paraId="6DAE6B5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为提高环境风险防范意识，增强环境应急处置能力，</w:t>
      </w:r>
      <w:r>
        <w:rPr>
          <w:rFonts w:hint="eastAsia" w:ascii="宋体" w:hAnsi="宋体" w:cs="宋体"/>
          <w:color w:val="auto"/>
          <w:sz w:val="28"/>
          <w:szCs w:val="28"/>
          <w:lang w:val="en-US" w:eastAsia="zh-CN"/>
        </w:rPr>
        <w:t>五通乡</w:t>
      </w:r>
      <w:r>
        <w:rPr>
          <w:rFonts w:hint="eastAsia" w:ascii="宋体" w:hAnsi="宋体" w:eastAsia="宋体" w:cs="宋体"/>
          <w:color w:val="auto"/>
          <w:sz w:val="28"/>
          <w:szCs w:val="28"/>
          <w:lang w:val="en-US" w:eastAsia="zh-CN"/>
        </w:rPr>
        <w:t>应</w:t>
      </w:r>
      <w:r>
        <w:rPr>
          <w:rFonts w:hint="default" w:ascii="宋体" w:hAnsi="宋体" w:eastAsia="宋体" w:cs="宋体"/>
          <w:color w:val="auto"/>
          <w:sz w:val="28"/>
          <w:szCs w:val="28"/>
          <w:lang w:val="en-US" w:eastAsia="zh-CN"/>
        </w:rPr>
        <w:t>定期开展环境应急预案的实际演练活动。演练活动将根据不同事项制定相应的紧急预案，结合实际作出计划，实施演练，其规定如下：</w:t>
      </w:r>
    </w:p>
    <w:p w14:paraId="4873CAD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1）应急演</w:t>
      </w:r>
      <w:r>
        <w:rPr>
          <w:rFonts w:hint="eastAsia" w:ascii="宋体" w:hAnsi="宋体" w:eastAsia="宋体" w:cs="宋体"/>
          <w:color w:val="auto"/>
          <w:sz w:val="28"/>
          <w:szCs w:val="28"/>
          <w:lang w:val="en-US" w:eastAsia="zh-CN"/>
        </w:rPr>
        <w:t>练</w:t>
      </w:r>
      <w:r>
        <w:rPr>
          <w:rFonts w:hint="default" w:ascii="宋体" w:hAnsi="宋体" w:eastAsia="宋体" w:cs="宋体"/>
          <w:color w:val="auto"/>
          <w:sz w:val="28"/>
          <w:szCs w:val="28"/>
          <w:lang w:val="en-US" w:eastAsia="zh-CN"/>
        </w:rPr>
        <w:t>至少每年一次；</w:t>
      </w:r>
    </w:p>
    <w:p w14:paraId="3505FD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演练</w:t>
      </w:r>
      <w:r>
        <w:rPr>
          <w:rFonts w:hint="default" w:ascii="宋体" w:hAnsi="宋体" w:eastAsia="宋体" w:cs="宋体"/>
          <w:color w:val="auto"/>
          <w:sz w:val="28"/>
          <w:szCs w:val="28"/>
          <w:lang w:val="en-US" w:eastAsia="zh-CN"/>
        </w:rPr>
        <w:t>事项按照应急预案的编制，逐项</w:t>
      </w:r>
      <w:r>
        <w:rPr>
          <w:rFonts w:hint="eastAsia" w:ascii="宋体" w:hAnsi="宋体" w:eastAsia="宋体" w:cs="宋体"/>
          <w:color w:val="auto"/>
          <w:sz w:val="28"/>
          <w:szCs w:val="28"/>
          <w:lang w:val="en-US" w:eastAsia="zh-CN"/>
        </w:rPr>
        <w:t>反复地演练</w:t>
      </w:r>
      <w:r>
        <w:rPr>
          <w:rFonts w:hint="default" w:ascii="宋体" w:hAnsi="宋体" w:eastAsia="宋体" w:cs="宋体"/>
          <w:color w:val="auto"/>
          <w:sz w:val="28"/>
          <w:szCs w:val="28"/>
          <w:lang w:val="en-US" w:eastAsia="zh-CN"/>
        </w:rPr>
        <w:t>；</w:t>
      </w:r>
    </w:p>
    <w:p w14:paraId="4F91B76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3）明确参加演练的人员，做到人人参加，人人熟练；</w:t>
      </w:r>
    </w:p>
    <w:p w14:paraId="2644793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4）组织辖区内企业开展联合应急演练；</w:t>
      </w:r>
    </w:p>
    <w:p w14:paraId="05A41F6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4）每一次安排</w:t>
      </w:r>
      <w:r>
        <w:rPr>
          <w:rFonts w:hint="eastAsia" w:ascii="宋体" w:hAnsi="宋体" w:eastAsia="宋体" w:cs="宋体"/>
          <w:color w:val="auto"/>
          <w:sz w:val="28"/>
          <w:szCs w:val="28"/>
          <w:lang w:val="en-US" w:eastAsia="zh-CN"/>
        </w:rPr>
        <w:t>专人</w:t>
      </w:r>
      <w:r>
        <w:rPr>
          <w:rFonts w:hint="default" w:ascii="宋体" w:hAnsi="宋体" w:eastAsia="宋体" w:cs="宋体"/>
          <w:color w:val="auto"/>
          <w:sz w:val="28"/>
          <w:szCs w:val="28"/>
          <w:lang w:val="en-US" w:eastAsia="zh-CN"/>
        </w:rPr>
        <w:t>做好演练文字记录、图片音像资料，并存档；</w:t>
      </w:r>
    </w:p>
    <w:p w14:paraId="7FAA76B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5）每一事项演练后，对演练过程进行评估、总结，以便再次演练时进行修正，为完善预案提供依据。</w:t>
      </w:r>
    </w:p>
    <w:p w14:paraId="00225B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58" w:name="_Toc12907"/>
      <w:bookmarkStart w:id="159" w:name="_Toc8627"/>
      <w:bookmarkStart w:id="160" w:name="_Toc29035"/>
      <w:bookmarkStart w:id="161" w:name="_Toc11370"/>
      <w:bookmarkStart w:id="162" w:name="_Toc4714"/>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.2 宣传</w:t>
      </w:r>
      <w:bookmarkEnd w:id="158"/>
      <w:bookmarkEnd w:id="159"/>
      <w:bookmarkEnd w:id="160"/>
      <w:bookmarkEnd w:id="161"/>
      <w:bookmarkEnd w:id="162"/>
    </w:p>
    <w:p w14:paraId="0FA4DBA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重庆市开州区</w:t>
      </w:r>
      <w:r>
        <w:rPr>
          <w:rFonts w:hint="eastAsia" w:ascii="宋体" w:hAnsi="宋体" w:cs="宋体"/>
          <w:color w:val="auto"/>
          <w:sz w:val="28"/>
          <w:szCs w:val="28"/>
          <w:lang w:val="en-US" w:eastAsia="zh-CN"/>
        </w:rPr>
        <w:t>五通乡</w:t>
      </w:r>
      <w:r>
        <w:rPr>
          <w:rFonts w:hint="eastAsia" w:ascii="宋体" w:hAnsi="宋体" w:eastAsia="宋体" w:cs="宋体"/>
          <w:color w:val="auto"/>
          <w:sz w:val="28"/>
          <w:szCs w:val="28"/>
          <w:lang w:val="en-US" w:eastAsia="zh-CN"/>
        </w:rPr>
        <w:t>辖区内各企业应向员工说明本单位所涉及的环境风险物质的危险特性及发生事件可能造成的危害。广泛宣传突发环境事件有关法律法规和预防、避险、避灾、自救、互救的应急常识。增强职工应对突发环境事件的知识，增强应对突发环境事件的能力。</w:t>
      </w:r>
    </w:p>
    <w:p w14:paraId="230A254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掌握预案、应用预案处置突发环境事件。</w:t>
      </w:r>
    </w:p>
    <w:p w14:paraId="5FCA732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63" w:name="_Toc23169"/>
      <w:bookmarkStart w:id="164" w:name="_Toc6526"/>
      <w:bookmarkStart w:id="165" w:name="_Toc27877"/>
      <w:bookmarkStart w:id="166" w:name="_Toc6999"/>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.3 培训</w:t>
      </w:r>
      <w:bookmarkEnd w:id="163"/>
      <w:bookmarkEnd w:id="164"/>
      <w:bookmarkEnd w:id="165"/>
      <w:bookmarkEnd w:id="166"/>
    </w:p>
    <w:p w14:paraId="6A5368E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培训基本任务是：在突发环境事件情况下的快速抢险堵源，及时营救伤员、正确指导和帮助群众防护与撤离、有效消除环境危害，开展现场急救和伤员转送等技能和应急反应综合素质，有效降低突发环境事件对周边环境的危害，减少突发环境事件造成的损失。</w:t>
      </w:r>
    </w:p>
    <w:p w14:paraId="21A89A8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宋体" w:hAnsi="宋体" w:eastAsia="宋体" w:cs="宋体"/>
          <w:b/>
          <w:bCs/>
          <w:color w:val="auto"/>
          <w:kern w:val="2"/>
          <w:sz w:val="32"/>
          <w:szCs w:val="32"/>
          <w:lang w:val="en-US" w:eastAsia="zh-CN" w:bidi="ar-SA"/>
        </w:rPr>
      </w:pPr>
      <w:bookmarkStart w:id="167" w:name="_Toc29430"/>
      <w:bookmarkStart w:id="168" w:name="_Toc23132"/>
      <w:bookmarkStart w:id="169" w:name="_Toc26469"/>
      <w:bookmarkStart w:id="170" w:name="_Toc5163"/>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.4 预案管理</w:t>
      </w:r>
      <w:bookmarkEnd w:id="167"/>
      <w:bookmarkEnd w:id="168"/>
      <w:bookmarkEnd w:id="169"/>
      <w:bookmarkEnd w:id="170"/>
    </w:p>
    <w:p w14:paraId="4BDD9D85">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.4.1 预案的制定和解释</w:t>
      </w:r>
    </w:p>
    <w:p w14:paraId="76AF692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五通乡通过对辖区</w:t>
      </w:r>
      <w:r>
        <w:rPr>
          <w:rFonts w:hint="default" w:ascii="宋体" w:hAnsi="宋体" w:eastAsia="宋体" w:cs="宋体"/>
          <w:color w:val="auto"/>
          <w:sz w:val="28"/>
          <w:szCs w:val="28"/>
          <w:lang w:val="en-US" w:eastAsia="zh-CN"/>
        </w:rPr>
        <w:t>重点环境风险源定期开展预案评估工作，按有关规定及时组织预案修订工作</w:t>
      </w:r>
      <w:r>
        <w:rPr>
          <w:rFonts w:hint="eastAsia" w:ascii="宋体" w:hAnsi="宋体" w:eastAsia="宋体" w:cs="宋体"/>
          <w:color w:val="auto"/>
          <w:sz w:val="28"/>
          <w:szCs w:val="28"/>
          <w:lang w:val="en-US" w:eastAsia="zh-CN"/>
        </w:rPr>
        <w:t>，原则上不超过三年</w:t>
      </w:r>
      <w:r>
        <w:rPr>
          <w:rFonts w:hint="default" w:ascii="宋体" w:hAnsi="宋体" w:eastAsia="宋体" w:cs="宋体"/>
          <w:color w:val="auto"/>
          <w:sz w:val="28"/>
          <w:szCs w:val="28"/>
          <w:lang w:val="en-US" w:eastAsia="zh-CN"/>
        </w:rPr>
        <w:t>。</w:t>
      </w:r>
    </w:p>
    <w:p w14:paraId="6CA6725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本预案由</w:t>
      </w:r>
      <w:r>
        <w:rPr>
          <w:rFonts w:hint="eastAsia" w:ascii="宋体" w:hAnsi="宋体" w:eastAsia="宋体" w:cs="宋体"/>
          <w:color w:val="auto"/>
          <w:sz w:val="28"/>
          <w:szCs w:val="28"/>
          <w:lang w:val="en-US" w:eastAsia="zh-CN"/>
        </w:rPr>
        <w:t>重庆市开州区五通乡人民政府</w:t>
      </w:r>
      <w:r>
        <w:rPr>
          <w:rFonts w:hint="default" w:ascii="宋体" w:hAnsi="宋体" w:eastAsia="宋体" w:cs="宋体"/>
          <w:color w:val="auto"/>
          <w:sz w:val="28"/>
          <w:szCs w:val="28"/>
          <w:lang w:val="en-US" w:eastAsia="zh-CN"/>
        </w:rPr>
        <w:t>负责解释</w:t>
      </w:r>
    </w:p>
    <w:p w14:paraId="1B0B8D2D">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7.4.2 实施时间</w:t>
      </w:r>
    </w:p>
    <w:p w14:paraId="28514ED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本预案自印发之日起实施。</w:t>
      </w:r>
    </w:p>
    <w:p w14:paraId="71EBF8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br w:type="page"/>
      </w:r>
    </w:p>
    <w:bookmarkEnd w:id="45"/>
    <w:p w14:paraId="79671D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71" w:name="_Toc9732"/>
      <w:r>
        <w:rPr>
          <w:rFonts w:hint="eastAsia" w:ascii="宋体" w:hAnsi="宋体" w:eastAsia="宋体" w:cs="宋体"/>
          <w:b/>
          <w:bCs/>
          <w:color w:val="auto"/>
          <w:kern w:val="2"/>
          <w:sz w:val="32"/>
          <w:szCs w:val="32"/>
          <w:lang w:val="en-US" w:eastAsia="zh-CN" w:bidi="ar-SA"/>
        </w:rPr>
        <w:t>8 附件和附图</w:t>
      </w:r>
      <w:bookmarkEnd w:id="171"/>
    </w:p>
    <w:p w14:paraId="74AF0F4E">
      <w:pPr>
        <w:spacing w:line="360" w:lineRule="auto"/>
        <w:rPr>
          <w:sz w:val="24"/>
        </w:rPr>
      </w:pPr>
      <w:r>
        <w:rPr>
          <w:rFonts w:hint="eastAsia"/>
          <w:sz w:val="24"/>
        </w:rPr>
        <w:t>附件1：</w:t>
      </w:r>
      <w:r>
        <w:rPr>
          <w:rFonts w:hint="eastAsia"/>
          <w:sz w:val="24"/>
          <w:lang w:val="en-US" w:eastAsia="zh-CN"/>
        </w:rPr>
        <w:t>应急组织机构</w:t>
      </w:r>
      <w:r>
        <w:rPr>
          <w:rFonts w:hint="eastAsia"/>
          <w:sz w:val="24"/>
        </w:rPr>
        <w:t>名单</w:t>
      </w:r>
    </w:p>
    <w:p w14:paraId="5A59BCF9">
      <w:pPr>
        <w:spacing w:line="360" w:lineRule="auto"/>
        <w:rPr>
          <w:rFonts w:hint="eastAsia"/>
          <w:sz w:val="24"/>
        </w:rPr>
      </w:pPr>
      <w:r>
        <w:rPr>
          <w:rFonts w:hint="eastAsia"/>
          <w:sz w:val="24"/>
        </w:rPr>
        <w:t>附件2：</w:t>
      </w:r>
      <w:r>
        <w:rPr>
          <w:rFonts w:hint="eastAsia"/>
          <w:sz w:val="24"/>
          <w:lang w:eastAsia="zh-CN"/>
        </w:rPr>
        <w:t>五通乡</w:t>
      </w:r>
      <w:r>
        <w:rPr>
          <w:rFonts w:hint="eastAsia"/>
          <w:sz w:val="24"/>
        </w:rPr>
        <w:t>环境突发事件应急物资清单</w:t>
      </w:r>
    </w:p>
    <w:p w14:paraId="6A500E79">
      <w:pPr>
        <w:spacing w:line="360" w:lineRule="auto"/>
        <w:rPr>
          <w:sz w:val="24"/>
        </w:rPr>
      </w:pPr>
      <w:r>
        <w:rPr>
          <w:rFonts w:hint="eastAsia"/>
          <w:sz w:val="24"/>
        </w:rPr>
        <w:t>附件3：开州区生态环境局应急物资储备情况</w:t>
      </w:r>
    </w:p>
    <w:p w14:paraId="573CBD94">
      <w:pPr>
        <w:spacing w:line="360" w:lineRule="auto"/>
        <w:rPr>
          <w:sz w:val="24"/>
        </w:rPr>
      </w:pPr>
      <w:r>
        <w:rPr>
          <w:sz w:val="24"/>
        </w:rPr>
        <w:t>附图1</w:t>
      </w:r>
      <w:r>
        <w:rPr>
          <w:rFonts w:hint="eastAsia"/>
          <w:sz w:val="24"/>
        </w:rPr>
        <w:t>：开州区</w:t>
      </w:r>
      <w:r>
        <w:rPr>
          <w:sz w:val="24"/>
        </w:rPr>
        <w:t>行政区划图</w:t>
      </w:r>
    </w:p>
    <w:p w14:paraId="42C44ADD">
      <w:pPr>
        <w:spacing w:line="360" w:lineRule="auto"/>
        <w:rPr>
          <w:sz w:val="24"/>
        </w:rPr>
      </w:pPr>
      <w:r>
        <w:rPr>
          <w:sz w:val="24"/>
        </w:rPr>
        <w:t>附图</w:t>
      </w:r>
      <w:r>
        <w:rPr>
          <w:rFonts w:hint="eastAsia"/>
          <w:sz w:val="24"/>
        </w:rPr>
        <w:t>2：开州区水系图</w:t>
      </w:r>
    </w:p>
    <w:p w14:paraId="21941EDA">
      <w:pPr>
        <w:spacing w:line="360" w:lineRule="auto"/>
        <w:rPr>
          <w:rFonts w:hint="eastAsia"/>
          <w:sz w:val="24"/>
        </w:rPr>
      </w:pPr>
      <w:r>
        <w:rPr>
          <w:sz w:val="24"/>
        </w:rPr>
        <w:t>附图</w:t>
      </w:r>
      <w:r>
        <w:rPr>
          <w:rFonts w:hint="eastAsia"/>
          <w:sz w:val="24"/>
        </w:rPr>
        <w:t>3：</w:t>
      </w:r>
      <w:r>
        <w:rPr>
          <w:rFonts w:hint="eastAsia"/>
          <w:sz w:val="24"/>
          <w:lang w:eastAsia="zh-CN"/>
        </w:rPr>
        <w:t>开州区五通乡老林沟</w:t>
      </w:r>
      <w:r>
        <w:rPr>
          <w:rFonts w:hint="eastAsia"/>
          <w:sz w:val="24"/>
        </w:rPr>
        <w:t>水源地</w:t>
      </w:r>
      <w:r>
        <w:rPr>
          <w:sz w:val="24"/>
        </w:rPr>
        <w:t>地理位置图</w:t>
      </w:r>
    </w:p>
    <w:p w14:paraId="36026DC6">
      <w:pPr>
        <w:spacing w:line="360" w:lineRule="auto"/>
        <w:rPr>
          <w:rFonts w:hint="eastAsia"/>
          <w:sz w:val="24"/>
        </w:rPr>
      </w:pPr>
      <w:r>
        <w:rPr>
          <w:rFonts w:hint="eastAsia"/>
          <w:sz w:val="24"/>
        </w:rPr>
        <w:t>附图4：饮用水水源地及移动风险源分布图</w:t>
      </w:r>
    </w:p>
    <w:p w14:paraId="7B068646">
      <w:pPr>
        <w:widowControl/>
        <w:adjustRightInd w:val="0"/>
        <w:snapToGrid w:val="0"/>
        <w:spacing w:line="520" w:lineRule="exact"/>
        <w:ind w:firstLine="480" w:firstLineChars="200"/>
        <w:rPr>
          <w:rFonts w:hint="eastAsia"/>
          <w:sz w:val="24"/>
        </w:rPr>
      </w:pPr>
    </w:p>
    <w:p w14:paraId="7D73B04B">
      <w:pPr>
        <w:widowControl/>
        <w:adjustRightInd w:val="0"/>
        <w:snapToGrid w:val="0"/>
        <w:spacing w:line="520" w:lineRule="exact"/>
        <w:ind w:firstLine="480" w:firstLineChars="200"/>
        <w:rPr>
          <w:rFonts w:hint="eastAsia"/>
          <w:sz w:val="24"/>
        </w:rPr>
      </w:pPr>
    </w:p>
    <w:p w14:paraId="2381CD8B">
      <w:pPr>
        <w:widowControl/>
        <w:adjustRightInd w:val="0"/>
        <w:snapToGrid w:val="0"/>
        <w:spacing w:line="520" w:lineRule="exact"/>
        <w:ind w:firstLine="480" w:firstLineChars="200"/>
        <w:rPr>
          <w:rFonts w:hint="eastAsia"/>
          <w:sz w:val="24"/>
        </w:rPr>
      </w:pPr>
    </w:p>
    <w:p w14:paraId="3CCF96AE">
      <w:pPr>
        <w:widowControl/>
        <w:adjustRightInd w:val="0"/>
        <w:snapToGrid w:val="0"/>
        <w:spacing w:line="520" w:lineRule="exact"/>
        <w:ind w:firstLine="480" w:firstLineChars="200"/>
        <w:rPr>
          <w:rFonts w:hint="eastAsia"/>
          <w:sz w:val="24"/>
        </w:rPr>
      </w:pPr>
    </w:p>
    <w:p w14:paraId="6F708A63">
      <w:pPr>
        <w:widowControl/>
        <w:adjustRightInd w:val="0"/>
        <w:snapToGrid w:val="0"/>
        <w:spacing w:line="520" w:lineRule="exact"/>
        <w:ind w:firstLine="480" w:firstLineChars="200"/>
        <w:rPr>
          <w:rFonts w:hint="eastAsia"/>
          <w:sz w:val="24"/>
        </w:rPr>
      </w:pPr>
    </w:p>
    <w:p w14:paraId="387C8FC9">
      <w:pPr>
        <w:widowControl/>
        <w:adjustRightInd w:val="0"/>
        <w:snapToGrid w:val="0"/>
        <w:spacing w:line="520" w:lineRule="exact"/>
        <w:ind w:firstLine="480" w:firstLineChars="200"/>
        <w:rPr>
          <w:rFonts w:hint="eastAsia"/>
          <w:sz w:val="24"/>
        </w:rPr>
      </w:pPr>
    </w:p>
    <w:p w14:paraId="6BCE014E">
      <w:pPr>
        <w:widowControl/>
        <w:adjustRightInd w:val="0"/>
        <w:snapToGrid w:val="0"/>
        <w:spacing w:line="520" w:lineRule="exact"/>
        <w:ind w:firstLine="480" w:firstLineChars="200"/>
        <w:rPr>
          <w:rFonts w:hint="eastAsia"/>
          <w:sz w:val="24"/>
        </w:rPr>
      </w:pPr>
    </w:p>
    <w:p w14:paraId="5EFC06B5">
      <w:pPr>
        <w:widowControl/>
        <w:adjustRightInd w:val="0"/>
        <w:snapToGrid w:val="0"/>
        <w:spacing w:line="520" w:lineRule="exact"/>
        <w:ind w:firstLine="480" w:firstLineChars="200"/>
        <w:rPr>
          <w:rFonts w:hint="eastAsia"/>
          <w:sz w:val="24"/>
        </w:rPr>
      </w:pPr>
    </w:p>
    <w:p w14:paraId="369084CB">
      <w:pPr>
        <w:widowControl/>
        <w:adjustRightInd w:val="0"/>
        <w:snapToGrid w:val="0"/>
        <w:spacing w:line="520" w:lineRule="exact"/>
        <w:ind w:firstLine="480" w:firstLineChars="200"/>
        <w:rPr>
          <w:rFonts w:hint="eastAsia"/>
          <w:sz w:val="24"/>
        </w:rPr>
      </w:pPr>
    </w:p>
    <w:p w14:paraId="783E2103">
      <w:pPr>
        <w:widowControl/>
        <w:adjustRightInd w:val="0"/>
        <w:snapToGrid w:val="0"/>
        <w:spacing w:line="520" w:lineRule="exact"/>
        <w:ind w:firstLine="480" w:firstLineChars="200"/>
        <w:rPr>
          <w:rFonts w:hint="eastAsia"/>
          <w:sz w:val="24"/>
        </w:rPr>
      </w:pPr>
    </w:p>
    <w:p w14:paraId="3A6E95D8">
      <w:pPr>
        <w:widowControl/>
        <w:adjustRightInd w:val="0"/>
        <w:snapToGrid w:val="0"/>
        <w:spacing w:line="520" w:lineRule="exact"/>
        <w:ind w:firstLine="480" w:firstLineChars="200"/>
        <w:rPr>
          <w:rFonts w:hint="eastAsia"/>
          <w:sz w:val="24"/>
        </w:rPr>
      </w:pPr>
    </w:p>
    <w:p w14:paraId="5DCC1100">
      <w:pPr>
        <w:widowControl/>
        <w:adjustRightInd w:val="0"/>
        <w:snapToGrid w:val="0"/>
        <w:spacing w:line="520" w:lineRule="exact"/>
        <w:ind w:firstLine="480" w:firstLineChars="200"/>
        <w:rPr>
          <w:rFonts w:hint="eastAsia"/>
          <w:sz w:val="24"/>
        </w:rPr>
      </w:pPr>
    </w:p>
    <w:p w14:paraId="5385A96E">
      <w:pPr>
        <w:widowControl/>
        <w:adjustRightInd w:val="0"/>
        <w:snapToGrid w:val="0"/>
        <w:spacing w:line="520" w:lineRule="exact"/>
        <w:ind w:firstLine="480" w:firstLineChars="200"/>
        <w:rPr>
          <w:rFonts w:hint="eastAsia"/>
          <w:sz w:val="24"/>
        </w:rPr>
      </w:pPr>
    </w:p>
    <w:p w14:paraId="4E078174">
      <w:pPr>
        <w:widowControl/>
        <w:jc w:val="left"/>
        <w:rPr>
          <w:rFonts w:hint="eastAsia" w:ascii="方正仿宋_GBK" w:hAnsi="方正仿宋_GBK" w:eastAsia="方正仿宋_GBK" w:cs="方正仿宋_GBK"/>
          <w:kern w:val="0"/>
          <w:szCs w:val="21"/>
        </w:rPr>
      </w:pPr>
    </w:p>
    <w:p w14:paraId="73AFC796">
      <w:pPr>
        <w:widowControl/>
        <w:jc w:val="left"/>
        <w:rPr>
          <w:rFonts w:hint="eastAsia" w:ascii="宋体" w:hAnsi="宋体" w:cs="宋体"/>
          <w:b/>
          <w:bCs/>
          <w:kern w:val="0"/>
          <w:sz w:val="24"/>
        </w:rPr>
      </w:pPr>
    </w:p>
    <w:p w14:paraId="2077F0E3">
      <w:pPr>
        <w:widowControl/>
        <w:jc w:val="left"/>
        <w:rPr>
          <w:rFonts w:hint="eastAsia" w:ascii="宋体" w:hAnsi="宋体" w:cs="宋体"/>
          <w:b/>
          <w:bCs/>
          <w:kern w:val="0"/>
          <w:sz w:val="24"/>
        </w:rPr>
      </w:pPr>
    </w:p>
    <w:p w14:paraId="7134D776">
      <w:pPr>
        <w:widowControl/>
        <w:jc w:val="left"/>
        <w:rPr>
          <w:rFonts w:hint="eastAsia" w:ascii="宋体" w:hAnsi="宋体" w:cs="宋体"/>
          <w:b/>
          <w:bCs/>
          <w:kern w:val="0"/>
          <w:sz w:val="24"/>
        </w:rPr>
      </w:pPr>
    </w:p>
    <w:p w14:paraId="764FEFAE">
      <w:pPr>
        <w:widowControl/>
        <w:jc w:val="left"/>
        <w:rPr>
          <w:rFonts w:hint="eastAsia" w:ascii="宋体" w:hAnsi="宋体" w:cs="宋体"/>
          <w:b/>
          <w:bCs/>
          <w:kern w:val="0"/>
          <w:sz w:val="24"/>
        </w:rPr>
      </w:pPr>
    </w:p>
    <w:p w14:paraId="685648C1">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default" w:ascii="宋体" w:hAnsi="宋体" w:eastAsia="宋体" w:cs="宋体"/>
          <w:sz w:val="21"/>
          <w:szCs w:val="21"/>
          <w:lang w:val="en-US" w:eastAsia="zh-CN"/>
        </w:rPr>
      </w:pPr>
      <w:r>
        <w:rPr>
          <w:rFonts w:hint="eastAsia" w:ascii="宋体" w:hAnsi="宋体" w:eastAsia="宋体" w:cs="宋体"/>
          <w:sz w:val="21"/>
          <w:szCs w:val="21"/>
        </w:rPr>
        <w:br w:type="page"/>
      </w:r>
      <w:r>
        <w:rPr>
          <w:rFonts w:hint="eastAsia" w:cs="宋体"/>
          <w:b/>
          <w:bCs/>
          <w:color w:val="auto"/>
          <w:sz w:val="28"/>
          <w:szCs w:val="28"/>
          <w:lang w:val="en-US" w:eastAsia="zh-CN"/>
        </w:rPr>
        <w:t>附件1：应急组织机构名单</w:t>
      </w:r>
    </w:p>
    <w:p w14:paraId="47CC7279">
      <w:pPr>
        <w:pStyle w:val="4"/>
        <w:spacing w:before="156" w:beforeLines="50" w:after="156" w:afterLines="50"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应急队伍名单</w:t>
      </w:r>
      <w:bookmarkStart w:id="178" w:name="_GoBack"/>
      <w:bookmarkEnd w:id="178"/>
    </w:p>
    <w:tbl>
      <w:tblPr>
        <w:tblStyle w:val="17"/>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250"/>
        <w:gridCol w:w="927"/>
        <w:gridCol w:w="3144"/>
        <w:gridCol w:w="1636"/>
      </w:tblGrid>
      <w:tr w14:paraId="7CB8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tcBorders>
              <w:tl2br w:val="nil"/>
              <w:tr2bl w:val="nil"/>
            </w:tcBorders>
            <w:noWrap w:val="0"/>
            <w:vAlign w:val="center"/>
          </w:tcPr>
          <w:p w14:paraId="419D8A7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rPr>
              <w:t>应急</w:t>
            </w:r>
            <w:r>
              <w:rPr>
                <w:rFonts w:hint="eastAsia" w:ascii="宋体" w:hAnsi="宋体" w:eastAsia="宋体" w:cs="宋体"/>
                <w:b w:val="0"/>
                <w:bCs w:val="0"/>
                <w:color w:val="auto"/>
                <w:sz w:val="21"/>
                <w:szCs w:val="21"/>
                <w:lang w:eastAsia="zh-CN"/>
              </w:rPr>
              <w:t>组织机构</w:t>
            </w:r>
          </w:p>
        </w:tc>
        <w:tc>
          <w:tcPr>
            <w:tcW w:w="1250" w:type="dxa"/>
            <w:tcBorders>
              <w:tl2br w:val="nil"/>
              <w:tr2bl w:val="nil"/>
            </w:tcBorders>
            <w:noWrap w:val="0"/>
            <w:vAlign w:val="center"/>
          </w:tcPr>
          <w:p w14:paraId="398E40C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应急职务</w:t>
            </w:r>
          </w:p>
        </w:tc>
        <w:tc>
          <w:tcPr>
            <w:tcW w:w="927" w:type="dxa"/>
            <w:tcBorders>
              <w:tl2br w:val="nil"/>
              <w:tr2bl w:val="nil"/>
            </w:tcBorders>
            <w:noWrap w:val="0"/>
            <w:vAlign w:val="center"/>
          </w:tcPr>
          <w:p w14:paraId="7907F5E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姓名</w:t>
            </w:r>
          </w:p>
        </w:tc>
        <w:tc>
          <w:tcPr>
            <w:tcW w:w="3144" w:type="dxa"/>
            <w:tcBorders>
              <w:tl2br w:val="nil"/>
              <w:tr2bl w:val="nil"/>
            </w:tcBorders>
            <w:noWrap w:val="0"/>
            <w:vAlign w:val="center"/>
          </w:tcPr>
          <w:p w14:paraId="19F49E3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部门（职务）</w:t>
            </w:r>
          </w:p>
        </w:tc>
        <w:tc>
          <w:tcPr>
            <w:tcW w:w="1636" w:type="dxa"/>
            <w:tcBorders>
              <w:tl2br w:val="nil"/>
              <w:tr2bl w:val="nil"/>
            </w:tcBorders>
            <w:noWrap w:val="0"/>
            <w:vAlign w:val="center"/>
          </w:tcPr>
          <w:p w14:paraId="46490826">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联系电话</w:t>
            </w:r>
          </w:p>
        </w:tc>
      </w:tr>
      <w:tr w14:paraId="28E8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tcBorders>
              <w:tl2br w:val="nil"/>
              <w:tr2bl w:val="nil"/>
            </w:tcBorders>
            <w:noWrap w:val="0"/>
            <w:vAlign w:val="center"/>
          </w:tcPr>
          <w:p w14:paraId="7783A10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应急领导小组</w:t>
            </w:r>
          </w:p>
        </w:tc>
        <w:tc>
          <w:tcPr>
            <w:tcW w:w="1250" w:type="dxa"/>
            <w:tcBorders>
              <w:tl2br w:val="nil"/>
              <w:tr2bl w:val="nil"/>
            </w:tcBorders>
            <w:noWrap w:val="0"/>
            <w:vAlign w:val="center"/>
          </w:tcPr>
          <w:p w14:paraId="1B0767A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组长</w:t>
            </w:r>
          </w:p>
        </w:tc>
        <w:tc>
          <w:tcPr>
            <w:tcW w:w="927" w:type="dxa"/>
            <w:tcBorders>
              <w:tl2br w:val="nil"/>
              <w:tr2bl w:val="nil"/>
            </w:tcBorders>
            <w:noWrap w:val="0"/>
            <w:vAlign w:val="center"/>
          </w:tcPr>
          <w:p w14:paraId="2CE198F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sz w:val="21"/>
                <w:szCs w:val="21"/>
                <w:highlight w:val="none"/>
                <w:lang w:val="en-US" w:eastAsia="zh-CN"/>
              </w:rPr>
              <w:t>朱小勇</w:t>
            </w:r>
          </w:p>
        </w:tc>
        <w:tc>
          <w:tcPr>
            <w:tcW w:w="3144" w:type="dxa"/>
            <w:tcBorders>
              <w:tl2br w:val="nil"/>
              <w:tr2bl w:val="nil"/>
            </w:tcBorders>
            <w:noWrap w:val="0"/>
            <w:vAlign w:val="center"/>
          </w:tcPr>
          <w:p w14:paraId="74BCD04E">
            <w:pPr>
              <w:spacing w:line="300" w:lineRule="atLeas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五通乡党委书记</w:t>
            </w:r>
          </w:p>
        </w:tc>
        <w:tc>
          <w:tcPr>
            <w:tcW w:w="1636" w:type="dxa"/>
            <w:tcBorders>
              <w:tl2br w:val="nil"/>
              <w:tr2bl w:val="nil"/>
            </w:tcBorders>
            <w:noWrap w:val="0"/>
            <w:vAlign w:val="center"/>
          </w:tcPr>
          <w:p w14:paraId="525DD9F7">
            <w:pPr>
              <w:spacing w:line="300" w:lineRule="atLeas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18002356633</w:t>
            </w:r>
          </w:p>
        </w:tc>
      </w:tr>
      <w:tr w14:paraId="1991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tcBorders>
              <w:tl2br w:val="nil"/>
              <w:tr2bl w:val="nil"/>
            </w:tcBorders>
            <w:noWrap w:val="0"/>
            <w:vAlign w:val="center"/>
          </w:tcPr>
          <w:p w14:paraId="3AA30C4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tcBorders>
              <w:tl2br w:val="nil"/>
              <w:tr2bl w:val="nil"/>
            </w:tcBorders>
            <w:noWrap w:val="0"/>
            <w:vAlign w:val="center"/>
          </w:tcPr>
          <w:p w14:paraId="67D9B7E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副组长</w:t>
            </w:r>
          </w:p>
        </w:tc>
        <w:tc>
          <w:tcPr>
            <w:tcW w:w="927" w:type="dxa"/>
            <w:tcBorders>
              <w:tl2br w:val="nil"/>
              <w:tr2bl w:val="nil"/>
            </w:tcBorders>
            <w:shd w:val="clear" w:color="auto" w:fill="auto"/>
            <w:noWrap w:val="0"/>
            <w:vAlign w:val="center"/>
          </w:tcPr>
          <w:p w14:paraId="63BBD46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邹学斌</w:t>
            </w:r>
          </w:p>
        </w:tc>
        <w:tc>
          <w:tcPr>
            <w:tcW w:w="3144" w:type="dxa"/>
            <w:tcBorders>
              <w:tl2br w:val="nil"/>
              <w:tr2bl w:val="nil"/>
            </w:tcBorders>
            <w:shd w:val="clear" w:color="auto" w:fill="auto"/>
            <w:noWrap w:val="0"/>
            <w:vAlign w:val="center"/>
          </w:tcPr>
          <w:p w14:paraId="2DF8DD1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五通乡党委副书记、乡长</w:t>
            </w:r>
          </w:p>
        </w:tc>
        <w:tc>
          <w:tcPr>
            <w:tcW w:w="1636" w:type="dxa"/>
            <w:tcBorders>
              <w:tl2br w:val="nil"/>
              <w:tr2bl w:val="nil"/>
            </w:tcBorders>
            <w:shd w:val="clear" w:color="auto" w:fill="auto"/>
            <w:noWrap w:val="0"/>
            <w:vAlign w:val="center"/>
          </w:tcPr>
          <w:p w14:paraId="5FE4D5AB">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13436233676</w:t>
            </w:r>
          </w:p>
        </w:tc>
      </w:tr>
      <w:tr w14:paraId="7D8A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0C64906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vMerge w:val="restart"/>
            <w:noWrap w:val="0"/>
            <w:vAlign w:val="center"/>
          </w:tcPr>
          <w:p w14:paraId="7F00EDA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成员</w:t>
            </w:r>
          </w:p>
        </w:tc>
        <w:tc>
          <w:tcPr>
            <w:tcW w:w="927" w:type="dxa"/>
            <w:shd w:val="clear" w:color="auto" w:fill="auto"/>
            <w:noWrap w:val="0"/>
            <w:vAlign w:val="center"/>
          </w:tcPr>
          <w:p w14:paraId="1B5E65E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韩以伟</w:t>
            </w:r>
          </w:p>
        </w:tc>
        <w:tc>
          <w:tcPr>
            <w:tcW w:w="3144" w:type="dxa"/>
            <w:shd w:val="clear" w:color="auto" w:fill="auto"/>
            <w:noWrap w:val="0"/>
            <w:vAlign w:val="center"/>
          </w:tcPr>
          <w:p w14:paraId="409978F0">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五通乡党委副书记、政法委员</w:t>
            </w:r>
          </w:p>
        </w:tc>
        <w:tc>
          <w:tcPr>
            <w:tcW w:w="1636" w:type="dxa"/>
            <w:shd w:val="clear" w:color="auto" w:fill="auto"/>
            <w:noWrap w:val="0"/>
            <w:vAlign w:val="center"/>
          </w:tcPr>
          <w:p w14:paraId="2E1CACC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13936567198</w:t>
            </w:r>
          </w:p>
        </w:tc>
      </w:tr>
      <w:tr w14:paraId="5115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trPr>
        <w:tc>
          <w:tcPr>
            <w:tcW w:w="1547" w:type="dxa"/>
            <w:vMerge w:val="continue"/>
            <w:noWrap w:val="0"/>
            <w:vAlign w:val="center"/>
          </w:tcPr>
          <w:p w14:paraId="404C31C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vMerge w:val="continue"/>
            <w:noWrap w:val="0"/>
            <w:vAlign w:val="center"/>
          </w:tcPr>
          <w:p w14:paraId="111244B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27" w:type="dxa"/>
            <w:shd w:val="clear" w:color="auto" w:fill="auto"/>
            <w:noWrap w:val="0"/>
            <w:vAlign w:val="center"/>
          </w:tcPr>
          <w:p w14:paraId="7CA8E1A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袁华兰</w:t>
            </w:r>
          </w:p>
        </w:tc>
        <w:tc>
          <w:tcPr>
            <w:tcW w:w="3144" w:type="dxa"/>
            <w:shd w:val="clear" w:color="auto" w:fill="auto"/>
            <w:noWrap w:val="0"/>
            <w:vAlign w:val="center"/>
          </w:tcPr>
          <w:p w14:paraId="1D3128E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五通乡党委委员、副乡长</w:t>
            </w:r>
          </w:p>
        </w:tc>
        <w:tc>
          <w:tcPr>
            <w:tcW w:w="1636" w:type="dxa"/>
            <w:shd w:val="clear" w:color="auto" w:fill="auto"/>
            <w:noWrap w:val="0"/>
            <w:vAlign w:val="center"/>
          </w:tcPr>
          <w:p w14:paraId="2866F01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13594880651</w:t>
            </w:r>
          </w:p>
        </w:tc>
      </w:tr>
      <w:tr w14:paraId="45A9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rPr>
        <w:tc>
          <w:tcPr>
            <w:tcW w:w="1547" w:type="dxa"/>
            <w:vMerge w:val="continue"/>
            <w:noWrap w:val="0"/>
            <w:vAlign w:val="center"/>
          </w:tcPr>
          <w:p w14:paraId="56F675B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vMerge w:val="continue"/>
            <w:noWrap w:val="0"/>
            <w:vAlign w:val="center"/>
          </w:tcPr>
          <w:p w14:paraId="0179646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27" w:type="dxa"/>
            <w:shd w:val="clear" w:color="auto" w:fill="auto"/>
            <w:noWrap w:val="0"/>
            <w:vAlign w:val="center"/>
          </w:tcPr>
          <w:p w14:paraId="1843F3A5">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任东</w:t>
            </w:r>
          </w:p>
        </w:tc>
        <w:tc>
          <w:tcPr>
            <w:tcW w:w="3144" w:type="dxa"/>
            <w:shd w:val="clear" w:color="auto" w:fill="auto"/>
            <w:noWrap w:val="0"/>
            <w:vAlign w:val="center"/>
          </w:tcPr>
          <w:p w14:paraId="030F4B6A">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五通乡党委委员、副乡长、武装部长</w:t>
            </w:r>
          </w:p>
        </w:tc>
        <w:tc>
          <w:tcPr>
            <w:tcW w:w="1636" w:type="dxa"/>
            <w:shd w:val="clear" w:color="auto" w:fill="auto"/>
            <w:noWrap w:val="0"/>
            <w:vAlign w:val="center"/>
          </w:tcPr>
          <w:p w14:paraId="5D56E7A1">
            <w:pPr>
              <w:keepNext w:val="0"/>
              <w:keepLines w:val="0"/>
              <w:suppressLineNumbers w:val="0"/>
              <w:spacing w:before="0" w:beforeAutospacing="0" w:after="0" w:afterAutospacing="0"/>
              <w:ind w:left="0" w:leftChars="0" w:right="0" w:rightChars="0"/>
              <w:jc w:val="center"/>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13436226596</w:t>
            </w:r>
          </w:p>
        </w:tc>
      </w:tr>
      <w:tr w14:paraId="6F2C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599FA8F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vMerge w:val="continue"/>
            <w:noWrap w:val="0"/>
            <w:vAlign w:val="center"/>
          </w:tcPr>
          <w:p w14:paraId="63DB593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27" w:type="dxa"/>
            <w:shd w:val="clear" w:color="auto" w:fill="auto"/>
            <w:noWrap w:val="0"/>
            <w:vAlign w:val="center"/>
          </w:tcPr>
          <w:p w14:paraId="0C6A788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徐良</w:t>
            </w:r>
          </w:p>
        </w:tc>
        <w:tc>
          <w:tcPr>
            <w:tcW w:w="3144" w:type="dxa"/>
            <w:shd w:val="clear" w:color="auto" w:fill="auto"/>
            <w:noWrap w:val="0"/>
            <w:vAlign w:val="center"/>
          </w:tcPr>
          <w:p w14:paraId="23B0924F">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五通乡党委宣传委员、统战委员</w:t>
            </w:r>
          </w:p>
        </w:tc>
        <w:tc>
          <w:tcPr>
            <w:tcW w:w="1636" w:type="dxa"/>
            <w:shd w:val="clear" w:color="auto" w:fill="auto"/>
            <w:noWrap w:val="0"/>
            <w:vAlign w:val="center"/>
          </w:tcPr>
          <w:p w14:paraId="2A205C1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13668429160</w:t>
            </w:r>
          </w:p>
        </w:tc>
      </w:tr>
      <w:tr w14:paraId="582D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5CEA6BA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vMerge w:val="continue"/>
            <w:noWrap w:val="0"/>
            <w:vAlign w:val="center"/>
          </w:tcPr>
          <w:p w14:paraId="3C95B3F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27" w:type="dxa"/>
            <w:shd w:val="clear" w:color="auto" w:fill="auto"/>
            <w:noWrap w:val="0"/>
            <w:vAlign w:val="center"/>
          </w:tcPr>
          <w:p w14:paraId="53B8F64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李进</w:t>
            </w:r>
          </w:p>
        </w:tc>
        <w:tc>
          <w:tcPr>
            <w:tcW w:w="3144" w:type="dxa"/>
            <w:shd w:val="clear" w:color="auto" w:fill="auto"/>
            <w:noWrap w:val="0"/>
            <w:vAlign w:val="center"/>
          </w:tcPr>
          <w:p w14:paraId="728C584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五通乡党委委员、纪委书记</w:t>
            </w:r>
          </w:p>
        </w:tc>
        <w:tc>
          <w:tcPr>
            <w:tcW w:w="1636" w:type="dxa"/>
            <w:shd w:val="clear" w:color="auto" w:fill="auto"/>
            <w:noWrap w:val="0"/>
            <w:vAlign w:val="center"/>
          </w:tcPr>
          <w:p w14:paraId="5CA00BB9">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15223630836</w:t>
            </w:r>
          </w:p>
        </w:tc>
      </w:tr>
      <w:tr w14:paraId="7B28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2CE4C8F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250" w:type="dxa"/>
            <w:vMerge w:val="continue"/>
            <w:noWrap w:val="0"/>
            <w:vAlign w:val="center"/>
          </w:tcPr>
          <w:p w14:paraId="4BCEC11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27" w:type="dxa"/>
            <w:shd w:val="clear" w:color="auto" w:fill="auto"/>
            <w:noWrap w:val="0"/>
            <w:vAlign w:val="center"/>
          </w:tcPr>
          <w:p w14:paraId="7698EC01">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田晏铭</w:t>
            </w:r>
          </w:p>
        </w:tc>
        <w:tc>
          <w:tcPr>
            <w:tcW w:w="3144" w:type="dxa"/>
            <w:shd w:val="clear" w:color="auto" w:fill="auto"/>
            <w:noWrap w:val="0"/>
            <w:vAlign w:val="center"/>
          </w:tcPr>
          <w:p w14:paraId="69C7FAEB">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五通乡党委组织委员</w:t>
            </w:r>
          </w:p>
        </w:tc>
        <w:tc>
          <w:tcPr>
            <w:tcW w:w="1636" w:type="dxa"/>
            <w:shd w:val="clear" w:color="auto" w:fill="auto"/>
            <w:noWrap w:val="0"/>
            <w:vAlign w:val="center"/>
          </w:tcPr>
          <w:p w14:paraId="4954A30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t>15213504321</w:t>
            </w:r>
          </w:p>
        </w:tc>
      </w:tr>
      <w:tr w14:paraId="3207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286BB856">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vMerge w:val="continue"/>
            <w:noWrap w:val="0"/>
            <w:vAlign w:val="center"/>
          </w:tcPr>
          <w:p w14:paraId="3C5E4046">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27" w:type="dxa"/>
            <w:shd w:val="clear" w:color="auto" w:fill="auto"/>
            <w:noWrap w:val="0"/>
            <w:vAlign w:val="center"/>
          </w:tcPr>
          <w:p w14:paraId="47A68123">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张天学</w:t>
            </w:r>
          </w:p>
        </w:tc>
        <w:tc>
          <w:tcPr>
            <w:tcW w:w="3144" w:type="dxa"/>
            <w:shd w:val="clear" w:color="auto" w:fill="auto"/>
            <w:noWrap w:val="0"/>
            <w:vAlign w:val="center"/>
          </w:tcPr>
          <w:p w14:paraId="2D478CE6">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五通乡田冲村支部书记</w:t>
            </w:r>
          </w:p>
        </w:tc>
        <w:tc>
          <w:tcPr>
            <w:tcW w:w="1636" w:type="dxa"/>
            <w:shd w:val="clear" w:color="auto" w:fill="auto"/>
            <w:noWrap w:val="0"/>
            <w:vAlign w:val="center"/>
          </w:tcPr>
          <w:p w14:paraId="3D229862">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17783364218</w:t>
            </w:r>
          </w:p>
        </w:tc>
      </w:tr>
      <w:tr w14:paraId="02FD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noWrap w:val="0"/>
            <w:vAlign w:val="center"/>
          </w:tcPr>
          <w:p w14:paraId="5BDDB651">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现场处置组</w:t>
            </w:r>
          </w:p>
        </w:tc>
        <w:tc>
          <w:tcPr>
            <w:tcW w:w="1250" w:type="dxa"/>
            <w:noWrap w:val="0"/>
            <w:vAlign w:val="center"/>
          </w:tcPr>
          <w:p w14:paraId="23832F49">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927" w:type="dxa"/>
            <w:noWrap w:val="0"/>
            <w:vAlign w:val="center"/>
          </w:tcPr>
          <w:p w14:paraId="3D910132">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彭江术</w:t>
            </w:r>
          </w:p>
        </w:tc>
        <w:tc>
          <w:tcPr>
            <w:tcW w:w="3144" w:type="dxa"/>
            <w:noWrap w:val="0"/>
            <w:vAlign w:val="center"/>
          </w:tcPr>
          <w:p w14:paraId="3F283E21">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产业发展中心主任</w:t>
            </w:r>
          </w:p>
        </w:tc>
        <w:tc>
          <w:tcPr>
            <w:tcW w:w="1636" w:type="dxa"/>
            <w:noWrap w:val="0"/>
            <w:vAlign w:val="center"/>
          </w:tcPr>
          <w:p w14:paraId="048FE37E">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13996518191</w:t>
            </w:r>
          </w:p>
        </w:tc>
      </w:tr>
      <w:tr w14:paraId="532D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12CFB20A">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noWrap w:val="0"/>
            <w:vAlign w:val="center"/>
          </w:tcPr>
          <w:p w14:paraId="7AA481DC">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副组长</w:t>
            </w:r>
          </w:p>
        </w:tc>
        <w:tc>
          <w:tcPr>
            <w:tcW w:w="927" w:type="dxa"/>
            <w:noWrap w:val="0"/>
            <w:vAlign w:val="center"/>
          </w:tcPr>
          <w:p w14:paraId="21409406">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范军锋</w:t>
            </w:r>
          </w:p>
        </w:tc>
        <w:tc>
          <w:tcPr>
            <w:tcW w:w="3144" w:type="dxa"/>
            <w:noWrap w:val="0"/>
            <w:vAlign w:val="center"/>
          </w:tcPr>
          <w:p w14:paraId="24F832F4">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产业发展中心工作人员</w:t>
            </w:r>
          </w:p>
        </w:tc>
        <w:tc>
          <w:tcPr>
            <w:tcW w:w="1636" w:type="dxa"/>
            <w:noWrap w:val="0"/>
            <w:vAlign w:val="center"/>
          </w:tcPr>
          <w:p w14:paraId="25938DB0">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13996617555</w:t>
            </w:r>
          </w:p>
        </w:tc>
      </w:tr>
      <w:tr w14:paraId="5ADC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377C8E9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noWrap w:val="0"/>
            <w:vAlign w:val="center"/>
          </w:tcPr>
          <w:p w14:paraId="5B4C9B3F">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927" w:type="dxa"/>
            <w:noWrap w:val="0"/>
            <w:vAlign w:val="center"/>
          </w:tcPr>
          <w:p w14:paraId="6D9D8A11">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郭东</w:t>
            </w:r>
          </w:p>
        </w:tc>
        <w:tc>
          <w:tcPr>
            <w:tcW w:w="3144" w:type="dxa"/>
            <w:noWrap w:val="0"/>
            <w:vAlign w:val="center"/>
          </w:tcPr>
          <w:p w14:paraId="41FCAFEA">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产业发展中心工作人员</w:t>
            </w:r>
          </w:p>
        </w:tc>
        <w:tc>
          <w:tcPr>
            <w:tcW w:w="1636" w:type="dxa"/>
            <w:noWrap w:val="0"/>
            <w:vAlign w:val="center"/>
          </w:tcPr>
          <w:p w14:paraId="6DC2E8E4">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18996668189</w:t>
            </w:r>
          </w:p>
        </w:tc>
      </w:tr>
      <w:tr w14:paraId="5BB2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noWrap w:val="0"/>
            <w:vAlign w:val="center"/>
          </w:tcPr>
          <w:p w14:paraId="19BC3E4B">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综合协调组</w:t>
            </w:r>
          </w:p>
        </w:tc>
        <w:tc>
          <w:tcPr>
            <w:tcW w:w="1250" w:type="dxa"/>
            <w:noWrap w:val="0"/>
            <w:vAlign w:val="center"/>
          </w:tcPr>
          <w:p w14:paraId="30B642A4">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927" w:type="dxa"/>
            <w:noWrap w:val="0"/>
            <w:vAlign w:val="center"/>
          </w:tcPr>
          <w:p w14:paraId="09E2BC85">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王梅</w:t>
            </w:r>
          </w:p>
        </w:tc>
        <w:tc>
          <w:tcPr>
            <w:tcW w:w="3144" w:type="dxa"/>
            <w:noWrap w:val="0"/>
            <w:vAlign w:val="center"/>
          </w:tcPr>
          <w:p w14:paraId="7774D263">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基层治理综合指挥室负责人</w:t>
            </w:r>
          </w:p>
        </w:tc>
        <w:tc>
          <w:tcPr>
            <w:tcW w:w="1636" w:type="dxa"/>
            <w:noWrap w:val="0"/>
            <w:vAlign w:val="center"/>
          </w:tcPr>
          <w:p w14:paraId="04F22B12">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15330408929</w:t>
            </w:r>
          </w:p>
        </w:tc>
      </w:tr>
      <w:tr w14:paraId="00AE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58243E1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noWrap w:val="0"/>
            <w:vAlign w:val="center"/>
          </w:tcPr>
          <w:p w14:paraId="78DBBD85">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副组长</w:t>
            </w:r>
          </w:p>
        </w:tc>
        <w:tc>
          <w:tcPr>
            <w:tcW w:w="927" w:type="dxa"/>
            <w:noWrap w:val="0"/>
            <w:vAlign w:val="center"/>
          </w:tcPr>
          <w:p w14:paraId="0DF5F16B">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王君豪</w:t>
            </w:r>
          </w:p>
        </w:tc>
        <w:tc>
          <w:tcPr>
            <w:tcW w:w="3144" w:type="dxa"/>
            <w:noWrap w:val="0"/>
            <w:vAlign w:val="center"/>
          </w:tcPr>
          <w:p w14:paraId="784CE511">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基层治理综合指挥室工作人员</w:t>
            </w:r>
          </w:p>
        </w:tc>
        <w:tc>
          <w:tcPr>
            <w:tcW w:w="1636" w:type="dxa"/>
            <w:noWrap w:val="0"/>
            <w:vAlign w:val="center"/>
          </w:tcPr>
          <w:p w14:paraId="36E506E2">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18696966496</w:t>
            </w:r>
          </w:p>
        </w:tc>
      </w:tr>
      <w:tr w14:paraId="0B51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3CAEAFE2">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noWrap w:val="0"/>
            <w:vAlign w:val="center"/>
          </w:tcPr>
          <w:p w14:paraId="7D4D4A4E">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927" w:type="dxa"/>
            <w:noWrap w:val="0"/>
            <w:vAlign w:val="center"/>
          </w:tcPr>
          <w:p w14:paraId="059110D5">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邓苏娥</w:t>
            </w:r>
          </w:p>
        </w:tc>
        <w:tc>
          <w:tcPr>
            <w:tcW w:w="3144" w:type="dxa"/>
            <w:noWrap w:val="0"/>
            <w:vAlign w:val="center"/>
          </w:tcPr>
          <w:p w14:paraId="2C5F7302">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基层治理综合指挥室工作人员</w:t>
            </w:r>
          </w:p>
        </w:tc>
        <w:tc>
          <w:tcPr>
            <w:tcW w:w="1636" w:type="dxa"/>
            <w:noWrap w:val="0"/>
            <w:vAlign w:val="center"/>
          </w:tcPr>
          <w:p w14:paraId="3554B384">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18883162911</w:t>
            </w:r>
          </w:p>
        </w:tc>
      </w:tr>
      <w:tr w14:paraId="1E6A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noWrap w:val="0"/>
            <w:vAlign w:val="center"/>
          </w:tcPr>
          <w:p w14:paraId="0ED1627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eastAsia="zh-CN"/>
              </w:rPr>
              <w:t>警戒疏散组</w:t>
            </w:r>
          </w:p>
        </w:tc>
        <w:tc>
          <w:tcPr>
            <w:tcW w:w="1250" w:type="dxa"/>
            <w:noWrap w:val="0"/>
            <w:vAlign w:val="center"/>
          </w:tcPr>
          <w:p w14:paraId="001A001B">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927" w:type="dxa"/>
            <w:noWrap w:val="0"/>
            <w:vAlign w:val="center"/>
          </w:tcPr>
          <w:p w14:paraId="306F627F">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张巨炳</w:t>
            </w:r>
          </w:p>
        </w:tc>
        <w:tc>
          <w:tcPr>
            <w:tcW w:w="3144" w:type="dxa"/>
            <w:noWrap w:val="0"/>
            <w:vAlign w:val="center"/>
          </w:tcPr>
          <w:p w14:paraId="2DF8D797">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五通乡平安法制办主任</w:t>
            </w:r>
          </w:p>
        </w:tc>
        <w:tc>
          <w:tcPr>
            <w:tcW w:w="1636" w:type="dxa"/>
            <w:noWrap w:val="0"/>
            <w:vAlign w:val="center"/>
          </w:tcPr>
          <w:p w14:paraId="3AD1AD39">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15213585333</w:t>
            </w:r>
          </w:p>
        </w:tc>
      </w:tr>
      <w:tr w14:paraId="1E5E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431CFFD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noWrap w:val="0"/>
            <w:vAlign w:val="center"/>
          </w:tcPr>
          <w:p w14:paraId="3E430559">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副组长</w:t>
            </w:r>
          </w:p>
        </w:tc>
        <w:tc>
          <w:tcPr>
            <w:tcW w:w="927" w:type="dxa"/>
            <w:noWrap w:val="0"/>
            <w:vAlign w:val="center"/>
          </w:tcPr>
          <w:p w14:paraId="0953498C">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陈恒轩</w:t>
            </w:r>
          </w:p>
        </w:tc>
        <w:tc>
          <w:tcPr>
            <w:tcW w:w="3144" w:type="dxa"/>
            <w:noWrap w:val="0"/>
            <w:vAlign w:val="center"/>
          </w:tcPr>
          <w:p w14:paraId="53F97784">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五通乡执法大队大队长</w:t>
            </w:r>
          </w:p>
        </w:tc>
        <w:tc>
          <w:tcPr>
            <w:tcW w:w="1636" w:type="dxa"/>
            <w:noWrap w:val="0"/>
            <w:vAlign w:val="center"/>
          </w:tcPr>
          <w:p w14:paraId="1DCB4E45">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17783485027</w:t>
            </w:r>
          </w:p>
        </w:tc>
      </w:tr>
      <w:tr w14:paraId="17E6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4BE744B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vMerge w:val="restart"/>
            <w:noWrap w:val="0"/>
            <w:vAlign w:val="center"/>
          </w:tcPr>
          <w:p w14:paraId="029E9FE0">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927" w:type="dxa"/>
            <w:noWrap w:val="0"/>
            <w:vAlign w:val="center"/>
          </w:tcPr>
          <w:p w14:paraId="5FC3C1CD">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张艳</w:t>
            </w:r>
          </w:p>
        </w:tc>
        <w:tc>
          <w:tcPr>
            <w:tcW w:w="3144" w:type="dxa"/>
            <w:noWrap w:val="0"/>
            <w:vAlign w:val="center"/>
          </w:tcPr>
          <w:p w14:paraId="20B98A60">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五通乡执法大队工作人员</w:t>
            </w:r>
          </w:p>
        </w:tc>
        <w:tc>
          <w:tcPr>
            <w:tcW w:w="1636" w:type="dxa"/>
            <w:noWrap w:val="0"/>
            <w:vAlign w:val="center"/>
          </w:tcPr>
          <w:p w14:paraId="70AF7FDD">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13062336110</w:t>
            </w:r>
          </w:p>
        </w:tc>
      </w:tr>
      <w:tr w14:paraId="4A15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14A9687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250" w:type="dxa"/>
            <w:vMerge w:val="continue"/>
            <w:noWrap w:val="0"/>
            <w:vAlign w:val="center"/>
          </w:tcPr>
          <w:p w14:paraId="507F563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27" w:type="dxa"/>
            <w:noWrap w:val="0"/>
            <w:vAlign w:val="center"/>
          </w:tcPr>
          <w:p w14:paraId="1808694F">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刘波</w:t>
            </w:r>
          </w:p>
        </w:tc>
        <w:tc>
          <w:tcPr>
            <w:tcW w:w="3144" w:type="dxa"/>
            <w:noWrap w:val="0"/>
            <w:vAlign w:val="center"/>
          </w:tcPr>
          <w:p w14:paraId="05DDEE5B">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五通乡执法大队工作人员</w:t>
            </w:r>
          </w:p>
        </w:tc>
        <w:tc>
          <w:tcPr>
            <w:tcW w:w="1636" w:type="dxa"/>
            <w:noWrap w:val="0"/>
            <w:vAlign w:val="center"/>
          </w:tcPr>
          <w:p w14:paraId="6931B42B">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19823920158</w:t>
            </w:r>
          </w:p>
        </w:tc>
      </w:tr>
      <w:tr w14:paraId="611F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exact"/>
        </w:trPr>
        <w:tc>
          <w:tcPr>
            <w:tcW w:w="1547" w:type="dxa"/>
            <w:shd w:val="clear" w:color="auto" w:fill="auto"/>
            <w:noWrap w:val="0"/>
            <w:vAlign w:val="center"/>
          </w:tcPr>
          <w:p w14:paraId="7EF1247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24小时值班电话</w:t>
            </w:r>
          </w:p>
        </w:tc>
        <w:tc>
          <w:tcPr>
            <w:tcW w:w="6957" w:type="dxa"/>
            <w:gridSpan w:val="4"/>
            <w:shd w:val="clear" w:color="auto" w:fill="auto"/>
            <w:noWrap w:val="0"/>
            <w:vAlign w:val="center"/>
          </w:tcPr>
          <w:p w14:paraId="6E4751DE">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五通乡自来水厂：陈颖13594422833</w:t>
            </w:r>
          </w:p>
          <w:p w14:paraId="25D1E018">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eastAsia="zh-CN"/>
              </w:rPr>
              <w:t>田冲村委会</w:t>
            </w:r>
            <w:r>
              <w:rPr>
                <w:rFonts w:hint="eastAsia" w:ascii="宋体" w:hAnsi="宋体" w:eastAsia="宋体" w:cs="宋体"/>
                <w:b w:val="0"/>
                <w:bCs w:val="0"/>
                <w:color w:val="auto"/>
                <w:sz w:val="21"/>
                <w:szCs w:val="21"/>
                <w:vertAlign w:val="baseline"/>
                <w:lang w:val="en-US" w:eastAsia="zh-CN"/>
              </w:rPr>
              <w:t>：张天学17783364218</w:t>
            </w:r>
          </w:p>
          <w:p w14:paraId="742CE39C">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五通乡</w:t>
            </w:r>
            <w:r>
              <w:rPr>
                <w:rFonts w:hint="eastAsia" w:ascii="宋体" w:hAnsi="宋体" w:eastAsia="宋体" w:cs="宋体"/>
                <w:sz w:val="21"/>
                <w:szCs w:val="21"/>
                <w:lang w:val="en-US" w:eastAsia="zh-CN"/>
              </w:rPr>
              <w:t>产业发展中心</w:t>
            </w:r>
            <w:r>
              <w:rPr>
                <w:rFonts w:hint="eastAsia" w:ascii="宋体" w:hAnsi="宋体" w:eastAsia="宋体" w:cs="宋体"/>
                <w:b w:val="0"/>
                <w:bCs w:val="0"/>
                <w:color w:val="auto"/>
                <w:sz w:val="21"/>
                <w:szCs w:val="21"/>
                <w:vertAlign w:val="baseline"/>
                <w:lang w:val="en-US" w:eastAsia="zh-CN"/>
              </w:rPr>
              <w:t>：范军锋13996617555</w:t>
            </w:r>
          </w:p>
        </w:tc>
      </w:tr>
    </w:tbl>
    <w:p w14:paraId="32C92C40">
      <w:pPr>
        <w:widowControl/>
        <w:jc w:val="center"/>
        <w:rPr>
          <w:rFonts w:hint="eastAsia" w:ascii="宋体" w:hAnsi="宋体" w:cs="宋体"/>
          <w:b/>
          <w:bCs/>
          <w:kern w:val="0"/>
          <w:sz w:val="24"/>
        </w:rPr>
      </w:pPr>
    </w:p>
    <w:p w14:paraId="3BAED648">
      <w:pPr>
        <w:pStyle w:val="21"/>
        <w:rPr>
          <w:rFonts w:hint="eastAsia" w:ascii="宋体" w:hAnsi="宋体" w:cs="宋体"/>
          <w:b/>
          <w:bCs/>
          <w:kern w:val="0"/>
          <w:sz w:val="24"/>
        </w:rPr>
      </w:pPr>
    </w:p>
    <w:p w14:paraId="0F5AB690">
      <w:pPr>
        <w:pStyle w:val="21"/>
        <w:rPr>
          <w:rFonts w:hint="eastAsia" w:ascii="宋体" w:hAnsi="宋体" w:cs="宋体"/>
          <w:b/>
          <w:bCs/>
          <w:kern w:val="0"/>
          <w:sz w:val="24"/>
        </w:rPr>
      </w:pPr>
    </w:p>
    <w:p w14:paraId="32BF5F5C">
      <w:pPr>
        <w:widowControl/>
        <w:jc w:val="center"/>
        <w:rPr>
          <w:rFonts w:ascii="仿宋_GB2312" w:hAnsi="宋体" w:eastAsia="仿宋_GB2312" w:cs="宋体"/>
          <w:kern w:val="0"/>
          <w:sz w:val="24"/>
        </w:rPr>
        <w:sectPr>
          <w:footerReference r:id="rId8" w:type="default"/>
          <w:pgSz w:w="11906" w:h="16838"/>
          <w:pgMar w:top="1327" w:right="1412" w:bottom="1327" w:left="1406" w:header="720" w:footer="720" w:gutter="0"/>
          <w:pgNumType w:fmt="decimal" w:start="1"/>
          <w:cols w:space="720" w:num="1"/>
          <w:docGrid w:type="lines" w:linePitch="312" w:charSpace="0"/>
        </w:sectPr>
      </w:pPr>
    </w:p>
    <w:p w14:paraId="1584FDA7">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cs="宋体"/>
          <w:b/>
          <w:bCs/>
          <w:color w:val="auto"/>
          <w:sz w:val="28"/>
          <w:szCs w:val="28"/>
          <w:lang w:val="en-US" w:eastAsia="zh-CN"/>
        </w:rPr>
      </w:pPr>
      <w:bookmarkStart w:id="172" w:name="_Toc21682"/>
      <w:r>
        <w:rPr>
          <w:rFonts w:hint="eastAsia" w:cs="宋体"/>
          <w:b/>
          <w:bCs/>
          <w:color w:val="auto"/>
          <w:sz w:val="28"/>
          <w:szCs w:val="28"/>
          <w:lang w:val="en-US" w:eastAsia="zh-CN"/>
        </w:rPr>
        <w:t>附件</w:t>
      </w:r>
      <w:bookmarkEnd w:id="172"/>
      <w:r>
        <w:rPr>
          <w:rFonts w:hint="eastAsia" w:cs="宋体"/>
          <w:b/>
          <w:bCs/>
          <w:color w:val="auto"/>
          <w:sz w:val="28"/>
          <w:szCs w:val="28"/>
          <w:lang w:val="en-US" w:eastAsia="zh-CN"/>
        </w:rPr>
        <w:t>2：五通乡突发环境事件应急物资清单</w:t>
      </w:r>
    </w:p>
    <w:p w14:paraId="6E4FAB8F">
      <w:pPr>
        <w:pStyle w:val="4"/>
        <w:spacing w:before="156" w:beforeLines="50" w:after="156" w:afterLines="50" w:line="360" w:lineRule="auto"/>
        <w:jc w:val="center"/>
        <w:rPr>
          <w:rFonts w:hint="eastAsia" w:ascii="宋体" w:hAnsi="宋体" w:eastAsia="宋体" w:cs="宋体"/>
          <w:b/>
          <w:bCs/>
          <w:sz w:val="24"/>
          <w:szCs w:val="24"/>
        </w:rPr>
      </w:pPr>
      <w:bookmarkStart w:id="173" w:name="_Toc18193"/>
      <w:r>
        <w:rPr>
          <w:rFonts w:hint="eastAsia" w:ascii="宋体" w:hAnsi="宋体" w:eastAsia="宋体" w:cs="宋体"/>
          <w:b/>
          <w:bCs/>
          <w:sz w:val="24"/>
          <w:szCs w:val="24"/>
          <w:lang w:eastAsia="zh-CN"/>
        </w:rPr>
        <w:t>五通乡</w:t>
      </w:r>
      <w:r>
        <w:rPr>
          <w:rFonts w:hint="eastAsia" w:ascii="宋体" w:hAnsi="宋体" w:eastAsia="宋体" w:cs="宋体"/>
          <w:b/>
          <w:bCs/>
          <w:sz w:val="24"/>
          <w:szCs w:val="24"/>
        </w:rPr>
        <w:t>突发环境事件应急物资清单</w:t>
      </w:r>
      <w:bookmarkEnd w:id="173"/>
    </w:p>
    <w:tbl>
      <w:tblPr>
        <w:tblStyle w:val="16"/>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788"/>
        <w:gridCol w:w="1242"/>
        <w:gridCol w:w="1955"/>
        <w:gridCol w:w="1247"/>
        <w:gridCol w:w="1738"/>
      </w:tblGrid>
      <w:tr w14:paraId="481C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4ADCD59">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88" w:type="dxa"/>
            <w:noWrap w:val="0"/>
            <w:vAlign w:val="center"/>
          </w:tcPr>
          <w:p w14:paraId="1D273182">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物资名称</w:t>
            </w:r>
          </w:p>
        </w:tc>
        <w:tc>
          <w:tcPr>
            <w:tcW w:w="1242" w:type="dxa"/>
            <w:noWrap w:val="0"/>
            <w:vAlign w:val="center"/>
          </w:tcPr>
          <w:p w14:paraId="5DAEA4A2">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单位</w:t>
            </w:r>
          </w:p>
        </w:tc>
        <w:tc>
          <w:tcPr>
            <w:tcW w:w="1955" w:type="dxa"/>
            <w:noWrap w:val="0"/>
            <w:vAlign w:val="center"/>
          </w:tcPr>
          <w:p w14:paraId="456F7ED7">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存放地点</w:t>
            </w:r>
          </w:p>
        </w:tc>
        <w:tc>
          <w:tcPr>
            <w:tcW w:w="1247" w:type="dxa"/>
            <w:noWrap w:val="0"/>
            <w:vAlign w:val="center"/>
          </w:tcPr>
          <w:p w14:paraId="42D733DC">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w:t>
            </w:r>
          </w:p>
        </w:tc>
        <w:tc>
          <w:tcPr>
            <w:tcW w:w="1738" w:type="dxa"/>
            <w:noWrap w:val="0"/>
            <w:vAlign w:val="center"/>
          </w:tcPr>
          <w:p w14:paraId="2412E476">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联系电话</w:t>
            </w:r>
          </w:p>
        </w:tc>
      </w:tr>
      <w:tr w14:paraId="49CB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4717EE4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1788" w:type="dxa"/>
            <w:noWrap w:val="0"/>
            <w:vAlign w:val="center"/>
          </w:tcPr>
          <w:p w14:paraId="6DF0E48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消防救援绳</w:t>
            </w:r>
          </w:p>
        </w:tc>
        <w:tc>
          <w:tcPr>
            <w:tcW w:w="1242" w:type="dxa"/>
            <w:noWrap w:val="0"/>
            <w:vAlign w:val="center"/>
          </w:tcPr>
          <w:p w14:paraId="26F6A3B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22根</w:t>
            </w:r>
          </w:p>
        </w:tc>
        <w:tc>
          <w:tcPr>
            <w:tcW w:w="1955" w:type="dxa"/>
            <w:noWrap w:val="0"/>
            <w:vAlign w:val="center"/>
          </w:tcPr>
          <w:p w14:paraId="3EFE5EE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0BC6BCF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张艳</w:t>
            </w:r>
          </w:p>
        </w:tc>
        <w:tc>
          <w:tcPr>
            <w:tcW w:w="1738" w:type="dxa"/>
            <w:noWrap w:val="0"/>
            <w:vAlign w:val="center"/>
          </w:tcPr>
          <w:p w14:paraId="10EFA5B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5255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9574DA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1788" w:type="dxa"/>
            <w:noWrap w:val="0"/>
            <w:vAlign w:val="center"/>
          </w:tcPr>
          <w:p w14:paraId="5DB8C24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消防水带</w:t>
            </w:r>
          </w:p>
        </w:tc>
        <w:tc>
          <w:tcPr>
            <w:tcW w:w="1242" w:type="dxa"/>
            <w:noWrap w:val="0"/>
            <w:vAlign w:val="center"/>
          </w:tcPr>
          <w:p w14:paraId="026649E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44跟</w:t>
            </w:r>
          </w:p>
        </w:tc>
        <w:tc>
          <w:tcPr>
            <w:tcW w:w="1955" w:type="dxa"/>
            <w:noWrap w:val="0"/>
            <w:vAlign w:val="center"/>
          </w:tcPr>
          <w:p w14:paraId="17A2157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1827FCF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0DE6B6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4B31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A77FDC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1788" w:type="dxa"/>
            <w:noWrap w:val="0"/>
            <w:vAlign w:val="center"/>
          </w:tcPr>
          <w:p w14:paraId="266A852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安全帽</w:t>
            </w:r>
          </w:p>
        </w:tc>
        <w:tc>
          <w:tcPr>
            <w:tcW w:w="1242" w:type="dxa"/>
            <w:noWrap w:val="0"/>
            <w:vAlign w:val="center"/>
          </w:tcPr>
          <w:p w14:paraId="1B44ECB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12顶</w:t>
            </w:r>
          </w:p>
        </w:tc>
        <w:tc>
          <w:tcPr>
            <w:tcW w:w="1955" w:type="dxa"/>
            <w:noWrap w:val="0"/>
            <w:vAlign w:val="center"/>
          </w:tcPr>
          <w:p w14:paraId="3432530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1FA4D09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08CF04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737E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5D95E5A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788" w:type="dxa"/>
            <w:noWrap w:val="0"/>
            <w:vAlign w:val="center"/>
          </w:tcPr>
          <w:p w14:paraId="6C66E08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灭火毯</w:t>
            </w:r>
          </w:p>
        </w:tc>
        <w:tc>
          <w:tcPr>
            <w:tcW w:w="1242" w:type="dxa"/>
            <w:noWrap w:val="0"/>
            <w:vAlign w:val="center"/>
          </w:tcPr>
          <w:p w14:paraId="2FBF6D76">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5条</w:t>
            </w:r>
          </w:p>
        </w:tc>
        <w:tc>
          <w:tcPr>
            <w:tcW w:w="1955" w:type="dxa"/>
            <w:noWrap w:val="0"/>
            <w:vAlign w:val="center"/>
          </w:tcPr>
          <w:p w14:paraId="0BA1691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775B9F0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6F9E320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CB9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B7AF596">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788" w:type="dxa"/>
            <w:noWrap w:val="0"/>
            <w:vAlign w:val="center"/>
          </w:tcPr>
          <w:p w14:paraId="4635F32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消防栓开关手柄</w:t>
            </w:r>
          </w:p>
        </w:tc>
        <w:tc>
          <w:tcPr>
            <w:tcW w:w="1242" w:type="dxa"/>
            <w:noWrap w:val="0"/>
            <w:vAlign w:val="center"/>
          </w:tcPr>
          <w:p w14:paraId="2B31F50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3把</w:t>
            </w:r>
          </w:p>
        </w:tc>
        <w:tc>
          <w:tcPr>
            <w:tcW w:w="1955" w:type="dxa"/>
            <w:noWrap w:val="0"/>
            <w:vAlign w:val="center"/>
          </w:tcPr>
          <w:p w14:paraId="22AF1A8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0141508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14804A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606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77621FA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788" w:type="dxa"/>
            <w:noWrap w:val="0"/>
            <w:vAlign w:val="center"/>
          </w:tcPr>
          <w:p w14:paraId="42CFECD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消防水枪</w:t>
            </w:r>
          </w:p>
        </w:tc>
        <w:tc>
          <w:tcPr>
            <w:tcW w:w="1242" w:type="dxa"/>
            <w:noWrap w:val="0"/>
            <w:vAlign w:val="center"/>
          </w:tcPr>
          <w:p w14:paraId="734DC4F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4个</w:t>
            </w:r>
          </w:p>
        </w:tc>
        <w:tc>
          <w:tcPr>
            <w:tcW w:w="1955" w:type="dxa"/>
            <w:noWrap w:val="0"/>
            <w:vAlign w:val="center"/>
          </w:tcPr>
          <w:p w14:paraId="0BC51B8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27BE337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2DFFA09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A4B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C2D92A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1788" w:type="dxa"/>
            <w:noWrap w:val="0"/>
            <w:vAlign w:val="center"/>
          </w:tcPr>
          <w:p w14:paraId="4B5486A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消防水泵</w:t>
            </w:r>
          </w:p>
        </w:tc>
        <w:tc>
          <w:tcPr>
            <w:tcW w:w="1242" w:type="dxa"/>
            <w:noWrap w:val="0"/>
            <w:vAlign w:val="center"/>
          </w:tcPr>
          <w:p w14:paraId="013ED77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2个</w:t>
            </w:r>
          </w:p>
        </w:tc>
        <w:tc>
          <w:tcPr>
            <w:tcW w:w="1955" w:type="dxa"/>
            <w:noWrap w:val="0"/>
            <w:vAlign w:val="center"/>
          </w:tcPr>
          <w:p w14:paraId="1CE256C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57F3740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6F57116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8BC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0B5B14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788" w:type="dxa"/>
            <w:noWrap w:val="0"/>
            <w:vAlign w:val="center"/>
          </w:tcPr>
          <w:p w14:paraId="271A990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消防腰斧</w:t>
            </w:r>
          </w:p>
        </w:tc>
        <w:tc>
          <w:tcPr>
            <w:tcW w:w="1242" w:type="dxa"/>
            <w:noWrap w:val="0"/>
            <w:vAlign w:val="center"/>
          </w:tcPr>
          <w:p w14:paraId="7053635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10个</w:t>
            </w:r>
          </w:p>
        </w:tc>
        <w:tc>
          <w:tcPr>
            <w:tcW w:w="1955" w:type="dxa"/>
            <w:noWrap w:val="0"/>
            <w:vAlign w:val="center"/>
          </w:tcPr>
          <w:p w14:paraId="373B7F9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0DBEC3B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1C2172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200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47FEAAA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1788" w:type="dxa"/>
            <w:noWrap w:val="0"/>
            <w:vAlign w:val="center"/>
          </w:tcPr>
          <w:p w14:paraId="16C412F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消防水鞋</w:t>
            </w:r>
          </w:p>
        </w:tc>
        <w:tc>
          <w:tcPr>
            <w:tcW w:w="1242" w:type="dxa"/>
            <w:noWrap w:val="0"/>
            <w:vAlign w:val="center"/>
          </w:tcPr>
          <w:p w14:paraId="5AF173D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9双</w:t>
            </w:r>
          </w:p>
        </w:tc>
        <w:tc>
          <w:tcPr>
            <w:tcW w:w="1955" w:type="dxa"/>
            <w:noWrap w:val="0"/>
            <w:vAlign w:val="center"/>
          </w:tcPr>
          <w:p w14:paraId="4D62793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30ADB91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2C798D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A16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547" w:type="dxa"/>
            <w:noWrap w:val="0"/>
            <w:vAlign w:val="center"/>
          </w:tcPr>
          <w:p w14:paraId="6A5AAB4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1788" w:type="dxa"/>
            <w:noWrap w:val="0"/>
            <w:vAlign w:val="center"/>
          </w:tcPr>
          <w:p w14:paraId="26D9E7D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消防安全帽</w:t>
            </w:r>
          </w:p>
        </w:tc>
        <w:tc>
          <w:tcPr>
            <w:tcW w:w="1242" w:type="dxa"/>
            <w:noWrap w:val="0"/>
            <w:vAlign w:val="center"/>
          </w:tcPr>
          <w:p w14:paraId="4CFA320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9顶</w:t>
            </w:r>
          </w:p>
        </w:tc>
        <w:tc>
          <w:tcPr>
            <w:tcW w:w="1955" w:type="dxa"/>
            <w:noWrap w:val="0"/>
            <w:vAlign w:val="center"/>
          </w:tcPr>
          <w:p w14:paraId="4179835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2B75354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557DDB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175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2B27F5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1788" w:type="dxa"/>
            <w:noWrap w:val="0"/>
            <w:vAlign w:val="center"/>
          </w:tcPr>
          <w:p w14:paraId="5856BD5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消防救援服</w:t>
            </w:r>
          </w:p>
        </w:tc>
        <w:tc>
          <w:tcPr>
            <w:tcW w:w="1242" w:type="dxa"/>
            <w:noWrap w:val="0"/>
            <w:vAlign w:val="center"/>
          </w:tcPr>
          <w:p w14:paraId="00A1236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24套</w:t>
            </w:r>
          </w:p>
        </w:tc>
        <w:tc>
          <w:tcPr>
            <w:tcW w:w="1955" w:type="dxa"/>
            <w:noWrap w:val="0"/>
            <w:vAlign w:val="center"/>
          </w:tcPr>
          <w:p w14:paraId="63DD7E6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0211965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630690D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0A7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53DC95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1788" w:type="dxa"/>
            <w:noWrap w:val="0"/>
            <w:vAlign w:val="center"/>
          </w:tcPr>
          <w:p w14:paraId="1AC966F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水剂灭火器</w:t>
            </w:r>
          </w:p>
        </w:tc>
        <w:tc>
          <w:tcPr>
            <w:tcW w:w="1242" w:type="dxa"/>
            <w:noWrap w:val="0"/>
            <w:vAlign w:val="center"/>
          </w:tcPr>
          <w:p w14:paraId="0496559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10个</w:t>
            </w:r>
          </w:p>
        </w:tc>
        <w:tc>
          <w:tcPr>
            <w:tcW w:w="1955" w:type="dxa"/>
            <w:noWrap w:val="0"/>
            <w:vAlign w:val="center"/>
          </w:tcPr>
          <w:p w14:paraId="05206CB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542BE29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569D839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4AC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8E7CAC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w:t>
            </w:r>
          </w:p>
        </w:tc>
        <w:tc>
          <w:tcPr>
            <w:tcW w:w="1788" w:type="dxa"/>
            <w:noWrap w:val="0"/>
            <w:vAlign w:val="center"/>
          </w:tcPr>
          <w:p w14:paraId="5671B00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自救呼吸器</w:t>
            </w:r>
          </w:p>
        </w:tc>
        <w:tc>
          <w:tcPr>
            <w:tcW w:w="1242" w:type="dxa"/>
            <w:noWrap w:val="0"/>
            <w:vAlign w:val="center"/>
          </w:tcPr>
          <w:p w14:paraId="3129FEB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15个</w:t>
            </w:r>
          </w:p>
        </w:tc>
        <w:tc>
          <w:tcPr>
            <w:tcW w:w="1955" w:type="dxa"/>
            <w:noWrap w:val="0"/>
            <w:vAlign w:val="center"/>
          </w:tcPr>
          <w:p w14:paraId="1CB5EF8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225997F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1B8DA5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C5F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AF9F1A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14</w:t>
            </w:r>
          </w:p>
        </w:tc>
        <w:tc>
          <w:tcPr>
            <w:tcW w:w="1788" w:type="dxa"/>
            <w:noWrap w:val="0"/>
            <w:vAlign w:val="center"/>
          </w:tcPr>
          <w:p w14:paraId="3F17CEA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乳胶手套</w:t>
            </w:r>
          </w:p>
        </w:tc>
        <w:tc>
          <w:tcPr>
            <w:tcW w:w="1242" w:type="dxa"/>
            <w:noWrap w:val="0"/>
            <w:vAlign w:val="center"/>
          </w:tcPr>
          <w:p w14:paraId="4356F61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24双</w:t>
            </w:r>
          </w:p>
        </w:tc>
        <w:tc>
          <w:tcPr>
            <w:tcW w:w="1955" w:type="dxa"/>
            <w:noWrap w:val="0"/>
            <w:vAlign w:val="center"/>
          </w:tcPr>
          <w:p w14:paraId="2260995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5EA5AE2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9AE3AA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0EC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B65177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w:t>
            </w:r>
          </w:p>
        </w:tc>
        <w:tc>
          <w:tcPr>
            <w:tcW w:w="1788" w:type="dxa"/>
            <w:noWrap w:val="0"/>
            <w:vAlign w:val="center"/>
          </w:tcPr>
          <w:p w14:paraId="1EADF42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断线钳</w:t>
            </w:r>
          </w:p>
        </w:tc>
        <w:tc>
          <w:tcPr>
            <w:tcW w:w="1242" w:type="dxa"/>
            <w:noWrap w:val="0"/>
            <w:vAlign w:val="center"/>
          </w:tcPr>
          <w:p w14:paraId="7B7C98E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2把</w:t>
            </w:r>
          </w:p>
        </w:tc>
        <w:tc>
          <w:tcPr>
            <w:tcW w:w="1955" w:type="dxa"/>
            <w:noWrap w:val="0"/>
            <w:vAlign w:val="center"/>
          </w:tcPr>
          <w:p w14:paraId="4BF8034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0EF626A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2823C7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56C6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982A2E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w:t>
            </w:r>
          </w:p>
        </w:tc>
        <w:tc>
          <w:tcPr>
            <w:tcW w:w="1788" w:type="dxa"/>
            <w:noWrap w:val="0"/>
            <w:vAlign w:val="center"/>
          </w:tcPr>
          <w:p w14:paraId="0C2DFE1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安全帽</w:t>
            </w:r>
          </w:p>
        </w:tc>
        <w:tc>
          <w:tcPr>
            <w:tcW w:w="1242" w:type="dxa"/>
            <w:noWrap w:val="0"/>
            <w:vAlign w:val="center"/>
          </w:tcPr>
          <w:p w14:paraId="237FCFA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10顶</w:t>
            </w:r>
          </w:p>
        </w:tc>
        <w:tc>
          <w:tcPr>
            <w:tcW w:w="1955" w:type="dxa"/>
            <w:noWrap w:val="0"/>
            <w:vAlign w:val="center"/>
          </w:tcPr>
          <w:p w14:paraId="06AC061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002E636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4143CE0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38C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0917B00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17</w:t>
            </w:r>
          </w:p>
        </w:tc>
        <w:tc>
          <w:tcPr>
            <w:tcW w:w="1788" w:type="dxa"/>
            <w:noWrap w:val="0"/>
            <w:vAlign w:val="center"/>
          </w:tcPr>
          <w:p w14:paraId="4EAE5F5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消防救援服黑色</w:t>
            </w:r>
          </w:p>
        </w:tc>
        <w:tc>
          <w:tcPr>
            <w:tcW w:w="1242" w:type="dxa"/>
            <w:noWrap w:val="0"/>
            <w:vAlign w:val="center"/>
          </w:tcPr>
          <w:p w14:paraId="3E556E3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6套</w:t>
            </w:r>
          </w:p>
        </w:tc>
        <w:tc>
          <w:tcPr>
            <w:tcW w:w="1955" w:type="dxa"/>
            <w:noWrap w:val="0"/>
            <w:vAlign w:val="center"/>
          </w:tcPr>
          <w:p w14:paraId="71BB1FC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543838F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302BCB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FD4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0858D69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18</w:t>
            </w:r>
          </w:p>
        </w:tc>
        <w:tc>
          <w:tcPr>
            <w:tcW w:w="1788" w:type="dxa"/>
            <w:noWrap w:val="0"/>
            <w:vAlign w:val="center"/>
          </w:tcPr>
          <w:p w14:paraId="1CB3D43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干粉灭火器</w:t>
            </w:r>
          </w:p>
        </w:tc>
        <w:tc>
          <w:tcPr>
            <w:tcW w:w="1242" w:type="dxa"/>
            <w:noWrap w:val="0"/>
            <w:vAlign w:val="center"/>
          </w:tcPr>
          <w:p w14:paraId="1CF5764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24个</w:t>
            </w:r>
          </w:p>
        </w:tc>
        <w:tc>
          <w:tcPr>
            <w:tcW w:w="1955" w:type="dxa"/>
            <w:noWrap w:val="0"/>
            <w:vAlign w:val="center"/>
          </w:tcPr>
          <w:p w14:paraId="318973C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1B62A4C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44223B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6431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1DD0FF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19</w:t>
            </w:r>
          </w:p>
        </w:tc>
        <w:tc>
          <w:tcPr>
            <w:tcW w:w="1788" w:type="dxa"/>
            <w:noWrap w:val="0"/>
            <w:vAlign w:val="center"/>
          </w:tcPr>
          <w:p w14:paraId="42D6473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扩音器</w:t>
            </w:r>
          </w:p>
        </w:tc>
        <w:tc>
          <w:tcPr>
            <w:tcW w:w="1242" w:type="dxa"/>
            <w:noWrap w:val="0"/>
            <w:vAlign w:val="center"/>
          </w:tcPr>
          <w:p w14:paraId="6DD0B00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6个</w:t>
            </w:r>
          </w:p>
        </w:tc>
        <w:tc>
          <w:tcPr>
            <w:tcW w:w="1955" w:type="dxa"/>
            <w:noWrap w:val="0"/>
            <w:vAlign w:val="center"/>
          </w:tcPr>
          <w:p w14:paraId="2D80696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2B60625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C6C938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7EB7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D15DE8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20</w:t>
            </w:r>
          </w:p>
        </w:tc>
        <w:tc>
          <w:tcPr>
            <w:tcW w:w="1788" w:type="dxa"/>
            <w:noWrap w:val="0"/>
            <w:vAlign w:val="center"/>
          </w:tcPr>
          <w:p w14:paraId="7B2F512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头灯</w:t>
            </w:r>
          </w:p>
        </w:tc>
        <w:tc>
          <w:tcPr>
            <w:tcW w:w="1242" w:type="dxa"/>
            <w:noWrap w:val="0"/>
            <w:vAlign w:val="center"/>
          </w:tcPr>
          <w:p w14:paraId="374F43B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10个</w:t>
            </w:r>
          </w:p>
        </w:tc>
        <w:tc>
          <w:tcPr>
            <w:tcW w:w="1955" w:type="dxa"/>
            <w:noWrap w:val="0"/>
            <w:vAlign w:val="center"/>
          </w:tcPr>
          <w:p w14:paraId="148E98C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797A4C5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56020B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339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4A39E14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21</w:t>
            </w:r>
          </w:p>
        </w:tc>
        <w:tc>
          <w:tcPr>
            <w:tcW w:w="1788" w:type="dxa"/>
            <w:noWrap w:val="0"/>
            <w:vAlign w:val="center"/>
          </w:tcPr>
          <w:p w14:paraId="0577600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手持电筒</w:t>
            </w:r>
          </w:p>
        </w:tc>
        <w:tc>
          <w:tcPr>
            <w:tcW w:w="1242" w:type="dxa"/>
            <w:noWrap w:val="0"/>
            <w:vAlign w:val="center"/>
          </w:tcPr>
          <w:p w14:paraId="3020BA0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7个</w:t>
            </w:r>
          </w:p>
        </w:tc>
        <w:tc>
          <w:tcPr>
            <w:tcW w:w="1955" w:type="dxa"/>
            <w:noWrap w:val="0"/>
            <w:vAlign w:val="center"/>
          </w:tcPr>
          <w:p w14:paraId="40C082F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37B3A33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5CD10F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258C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4C0D41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22</w:t>
            </w:r>
          </w:p>
        </w:tc>
        <w:tc>
          <w:tcPr>
            <w:tcW w:w="1788" w:type="dxa"/>
            <w:noWrap w:val="0"/>
            <w:vAlign w:val="center"/>
          </w:tcPr>
          <w:p w14:paraId="5CA6D32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电筒</w:t>
            </w:r>
          </w:p>
        </w:tc>
        <w:tc>
          <w:tcPr>
            <w:tcW w:w="1242" w:type="dxa"/>
            <w:noWrap w:val="0"/>
            <w:vAlign w:val="center"/>
          </w:tcPr>
          <w:p w14:paraId="2F7DA5C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17个</w:t>
            </w:r>
          </w:p>
        </w:tc>
        <w:tc>
          <w:tcPr>
            <w:tcW w:w="1955" w:type="dxa"/>
            <w:noWrap w:val="0"/>
            <w:vAlign w:val="center"/>
          </w:tcPr>
          <w:p w14:paraId="626CAAE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576B356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69B3615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C7A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5DAC35D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23</w:t>
            </w:r>
          </w:p>
        </w:tc>
        <w:tc>
          <w:tcPr>
            <w:tcW w:w="1788" w:type="dxa"/>
            <w:noWrap w:val="0"/>
            <w:vAlign w:val="center"/>
          </w:tcPr>
          <w:p w14:paraId="70C6E15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照明灯</w:t>
            </w:r>
          </w:p>
        </w:tc>
        <w:tc>
          <w:tcPr>
            <w:tcW w:w="1242" w:type="dxa"/>
            <w:noWrap w:val="0"/>
            <w:vAlign w:val="center"/>
          </w:tcPr>
          <w:p w14:paraId="644A753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5个</w:t>
            </w:r>
          </w:p>
        </w:tc>
        <w:tc>
          <w:tcPr>
            <w:tcW w:w="1955" w:type="dxa"/>
            <w:noWrap w:val="0"/>
            <w:vAlign w:val="center"/>
          </w:tcPr>
          <w:p w14:paraId="763499D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05FFEFE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06B06A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678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E8E5E7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24</w:t>
            </w:r>
          </w:p>
        </w:tc>
        <w:tc>
          <w:tcPr>
            <w:tcW w:w="1788" w:type="dxa"/>
            <w:noWrap w:val="0"/>
            <w:vAlign w:val="center"/>
          </w:tcPr>
          <w:p w14:paraId="5D1DA68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对讲机</w:t>
            </w:r>
          </w:p>
        </w:tc>
        <w:tc>
          <w:tcPr>
            <w:tcW w:w="1242" w:type="dxa"/>
            <w:noWrap w:val="0"/>
            <w:vAlign w:val="center"/>
          </w:tcPr>
          <w:p w14:paraId="0827686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8个</w:t>
            </w:r>
          </w:p>
        </w:tc>
        <w:tc>
          <w:tcPr>
            <w:tcW w:w="1955" w:type="dxa"/>
            <w:noWrap w:val="0"/>
            <w:vAlign w:val="center"/>
          </w:tcPr>
          <w:p w14:paraId="461631E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2E6E784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8AEC7B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7035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FC7359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25</w:t>
            </w:r>
          </w:p>
        </w:tc>
        <w:tc>
          <w:tcPr>
            <w:tcW w:w="1788" w:type="dxa"/>
            <w:noWrap w:val="0"/>
            <w:vAlign w:val="center"/>
          </w:tcPr>
          <w:p w14:paraId="64D601C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警示带</w:t>
            </w:r>
          </w:p>
        </w:tc>
        <w:tc>
          <w:tcPr>
            <w:tcW w:w="1242" w:type="dxa"/>
            <w:noWrap w:val="0"/>
            <w:vAlign w:val="center"/>
          </w:tcPr>
          <w:p w14:paraId="7E568E1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7个</w:t>
            </w:r>
          </w:p>
        </w:tc>
        <w:tc>
          <w:tcPr>
            <w:tcW w:w="1955" w:type="dxa"/>
            <w:noWrap w:val="0"/>
            <w:vAlign w:val="center"/>
          </w:tcPr>
          <w:p w14:paraId="72244D2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667E95A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2ABE73D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9B2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E5CCFC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26</w:t>
            </w:r>
          </w:p>
        </w:tc>
        <w:tc>
          <w:tcPr>
            <w:tcW w:w="1788" w:type="dxa"/>
            <w:noWrap w:val="0"/>
            <w:vAlign w:val="center"/>
          </w:tcPr>
          <w:p w14:paraId="1DD85DB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口哨</w:t>
            </w:r>
          </w:p>
        </w:tc>
        <w:tc>
          <w:tcPr>
            <w:tcW w:w="1242" w:type="dxa"/>
            <w:noWrap w:val="0"/>
            <w:vAlign w:val="center"/>
          </w:tcPr>
          <w:p w14:paraId="79F5C46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28个</w:t>
            </w:r>
          </w:p>
        </w:tc>
        <w:tc>
          <w:tcPr>
            <w:tcW w:w="1955" w:type="dxa"/>
            <w:noWrap w:val="0"/>
            <w:vAlign w:val="center"/>
          </w:tcPr>
          <w:p w14:paraId="6C4428E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294BF39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DB0571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BE4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775A98A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27</w:t>
            </w:r>
          </w:p>
        </w:tc>
        <w:tc>
          <w:tcPr>
            <w:tcW w:w="1788" w:type="dxa"/>
            <w:noWrap w:val="0"/>
            <w:vAlign w:val="center"/>
          </w:tcPr>
          <w:p w14:paraId="3DD9246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警示灯</w:t>
            </w:r>
          </w:p>
        </w:tc>
        <w:tc>
          <w:tcPr>
            <w:tcW w:w="1242" w:type="dxa"/>
            <w:noWrap w:val="0"/>
            <w:vAlign w:val="center"/>
          </w:tcPr>
          <w:p w14:paraId="7E45471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3个</w:t>
            </w:r>
          </w:p>
        </w:tc>
        <w:tc>
          <w:tcPr>
            <w:tcW w:w="1955" w:type="dxa"/>
            <w:noWrap w:val="0"/>
            <w:vAlign w:val="center"/>
          </w:tcPr>
          <w:p w14:paraId="7997180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35D4252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7B5897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4EA0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98D11B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28</w:t>
            </w:r>
          </w:p>
        </w:tc>
        <w:tc>
          <w:tcPr>
            <w:tcW w:w="1788" w:type="dxa"/>
            <w:noWrap w:val="0"/>
            <w:vAlign w:val="center"/>
          </w:tcPr>
          <w:p w14:paraId="641A688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发电机</w:t>
            </w:r>
          </w:p>
        </w:tc>
        <w:tc>
          <w:tcPr>
            <w:tcW w:w="1242" w:type="dxa"/>
            <w:noWrap w:val="0"/>
            <w:vAlign w:val="center"/>
          </w:tcPr>
          <w:p w14:paraId="0AA05EE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2个</w:t>
            </w:r>
          </w:p>
        </w:tc>
        <w:tc>
          <w:tcPr>
            <w:tcW w:w="1955" w:type="dxa"/>
            <w:noWrap w:val="0"/>
            <w:vAlign w:val="center"/>
          </w:tcPr>
          <w:p w14:paraId="78A387E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5792C30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2E72D2A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2EEE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F12842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29</w:t>
            </w:r>
          </w:p>
        </w:tc>
        <w:tc>
          <w:tcPr>
            <w:tcW w:w="1788" w:type="dxa"/>
            <w:noWrap w:val="0"/>
            <w:vAlign w:val="center"/>
          </w:tcPr>
          <w:p w14:paraId="7B232A2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雨鞋</w:t>
            </w:r>
          </w:p>
        </w:tc>
        <w:tc>
          <w:tcPr>
            <w:tcW w:w="1242" w:type="dxa"/>
            <w:noWrap w:val="0"/>
            <w:vAlign w:val="center"/>
          </w:tcPr>
          <w:p w14:paraId="0338234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15双</w:t>
            </w:r>
          </w:p>
        </w:tc>
        <w:tc>
          <w:tcPr>
            <w:tcW w:w="1955" w:type="dxa"/>
            <w:noWrap w:val="0"/>
            <w:vAlign w:val="center"/>
          </w:tcPr>
          <w:p w14:paraId="19C89D5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5AD7F7C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8A62A0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0E1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59B095A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30</w:t>
            </w:r>
          </w:p>
        </w:tc>
        <w:tc>
          <w:tcPr>
            <w:tcW w:w="1788" w:type="dxa"/>
            <w:noWrap w:val="0"/>
            <w:vAlign w:val="center"/>
          </w:tcPr>
          <w:p w14:paraId="48F9A52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雨衣</w:t>
            </w:r>
          </w:p>
        </w:tc>
        <w:tc>
          <w:tcPr>
            <w:tcW w:w="1242" w:type="dxa"/>
            <w:noWrap w:val="0"/>
            <w:vAlign w:val="center"/>
          </w:tcPr>
          <w:p w14:paraId="511F1A4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28套</w:t>
            </w:r>
          </w:p>
        </w:tc>
        <w:tc>
          <w:tcPr>
            <w:tcW w:w="1955" w:type="dxa"/>
            <w:noWrap w:val="0"/>
            <w:vAlign w:val="center"/>
          </w:tcPr>
          <w:p w14:paraId="3F008CB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04D23BB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50212E2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588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77445E8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31</w:t>
            </w:r>
          </w:p>
        </w:tc>
        <w:tc>
          <w:tcPr>
            <w:tcW w:w="1788" w:type="dxa"/>
            <w:noWrap w:val="0"/>
            <w:vAlign w:val="center"/>
          </w:tcPr>
          <w:p w14:paraId="741902C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救生绳</w:t>
            </w:r>
          </w:p>
        </w:tc>
        <w:tc>
          <w:tcPr>
            <w:tcW w:w="1242" w:type="dxa"/>
            <w:noWrap w:val="0"/>
            <w:vAlign w:val="center"/>
          </w:tcPr>
          <w:p w14:paraId="59E1163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15根</w:t>
            </w:r>
          </w:p>
        </w:tc>
        <w:tc>
          <w:tcPr>
            <w:tcW w:w="1955" w:type="dxa"/>
            <w:noWrap w:val="0"/>
            <w:vAlign w:val="center"/>
          </w:tcPr>
          <w:p w14:paraId="6727B76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0B5976E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66459B5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A01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FB6D78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w:t>
            </w:r>
          </w:p>
        </w:tc>
        <w:tc>
          <w:tcPr>
            <w:tcW w:w="1788" w:type="dxa"/>
            <w:noWrap w:val="0"/>
            <w:vAlign w:val="center"/>
          </w:tcPr>
          <w:p w14:paraId="0FEE021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救生衣</w:t>
            </w:r>
          </w:p>
        </w:tc>
        <w:tc>
          <w:tcPr>
            <w:tcW w:w="1242" w:type="dxa"/>
            <w:noWrap w:val="0"/>
            <w:vAlign w:val="center"/>
          </w:tcPr>
          <w:p w14:paraId="47FA8D66">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15套</w:t>
            </w:r>
          </w:p>
        </w:tc>
        <w:tc>
          <w:tcPr>
            <w:tcW w:w="1955" w:type="dxa"/>
            <w:noWrap w:val="0"/>
            <w:vAlign w:val="center"/>
          </w:tcPr>
          <w:p w14:paraId="0383EAE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6BD1522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6E6DA6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28A3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530BBA9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33</w:t>
            </w:r>
          </w:p>
        </w:tc>
        <w:tc>
          <w:tcPr>
            <w:tcW w:w="1788" w:type="dxa"/>
            <w:noWrap w:val="0"/>
            <w:vAlign w:val="center"/>
          </w:tcPr>
          <w:p w14:paraId="24570F7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救生圈</w:t>
            </w:r>
          </w:p>
        </w:tc>
        <w:tc>
          <w:tcPr>
            <w:tcW w:w="1242" w:type="dxa"/>
            <w:noWrap w:val="0"/>
            <w:vAlign w:val="center"/>
          </w:tcPr>
          <w:p w14:paraId="516E788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16个</w:t>
            </w:r>
          </w:p>
        </w:tc>
        <w:tc>
          <w:tcPr>
            <w:tcW w:w="1955" w:type="dxa"/>
            <w:noWrap w:val="0"/>
            <w:vAlign w:val="center"/>
          </w:tcPr>
          <w:p w14:paraId="339076B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2A907D4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21BC50D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14F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2D2777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34</w:t>
            </w:r>
          </w:p>
        </w:tc>
        <w:tc>
          <w:tcPr>
            <w:tcW w:w="1788" w:type="dxa"/>
            <w:noWrap w:val="0"/>
            <w:vAlign w:val="center"/>
          </w:tcPr>
          <w:p w14:paraId="53F2016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防刺服</w:t>
            </w:r>
          </w:p>
        </w:tc>
        <w:tc>
          <w:tcPr>
            <w:tcW w:w="1242" w:type="dxa"/>
            <w:noWrap w:val="0"/>
            <w:vAlign w:val="center"/>
          </w:tcPr>
          <w:p w14:paraId="0042798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10套</w:t>
            </w:r>
          </w:p>
        </w:tc>
        <w:tc>
          <w:tcPr>
            <w:tcW w:w="1955" w:type="dxa"/>
            <w:noWrap w:val="0"/>
            <w:vAlign w:val="center"/>
          </w:tcPr>
          <w:p w14:paraId="552025C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372432D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3D159E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E0F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4F3964B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35</w:t>
            </w:r>
          </w:p>
        </w:tc>
        <w:tc>
          <w:tcPr>
            <w:tcW w:w="1788" w:type="dxa"/>
            <w:noWrap w:val="0"/>
            <w:vAlign w:val="center"/>
          </w:tcPr>
          <w:p w14:paraId="1EBECAB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防爆头盔</w:t>
            </w:r>
          </w:p>
        </w:tc>
        <w:tc>
          <w:tcPr>
            <w:tcW w:w="1242" w:type="dxa"/>
            <w:noWrap w:val="0"/>
            <w:vAlign w:val="center"/>
          </w:tcPr>
          <w:p w14:paraId="1502C66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10顶</w:t>
            </w:r>
          </w:p>
        </w:tc>
        <w:tc>
          <w:tcPr>
            <w:tcW w:w="1955" w:type="dxa"/>
            <w:noWrap w:val="0"/>
            <w:vAlign w:val="center"/>
          </w:tcPr>
          <w:p w14:paraId="6982138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7F8A59C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6B8D81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CEF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C668CE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36</w:t>
            </w:r>
          </w:p>
        </w:tc>
        <w:tc>
          <w:tcPr>
            <w:tcW w:w="1788" w:type="dxa"/>
            <w:noWrap w:val="0"/>
            <w:vAlign w:val="center"/>
          </w:tcPr>
          <w:p w14:paraId="47DB8D6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防爆棍</w:t>
            </w:r>
          </w:p>
        </w:tc>
        <w:tc>
          <w:tcPr>
            <w:tcW w:w="1242" w:type="dxa"/>
            <w:noWrap w:val="0"/>
            <w:vAlign w:val="center"/>
          </w:tcPr>
          <w:p w14:paraId="79D1926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11根</w:t>
            </w:r>
          </w:p>
        </w:tc>
        <w:tc>
          <w:tcPr>
            <w:tcW w:w="1955" w:type="dxa"/>
            <w:noWrap w:val="0"/>
            <w:vAlign w:val="center"/>
          </w:tcPr>
          <w:p w14:paraId="27DDA67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70FDAE4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59C8B18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5DE5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01B0BB0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37</w:t>
            </w:r>
          </w:p>
        </w:tc>
        <w:tc>
          <w:tcPr>
            <w:tcW w:w="1788" w:type="dxa"/>
            <w:noWrap w:val="0"/>
            <w:vAlign w:val="center"/>
          </w:tcPr>
          <w:p w14:paraId="1F1AEEA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防爆盾牌</w:t>
            </w:r>
          </w:p>
        </w:tc>
        <w:tc>
          <w:tcPr>
            <w:tcW w:w="1242" w:type="dxa"/>
            <w:noWrap w:val="0"/>
            <w:vAlign w:val="center"/>
          </w:tcPr>
          <w:p w14:paraId="18A3C8C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10个</w:t>
            </w:r>
          </w:p>
        </w:tc>
        <w:tc>
          <w:tcPr>
            <w:tcW w:w="1955" w:type="dxa"/>
            <w:noWrap w:val="0"/>
            <w:vAlign w:val="center"/>
          </w:tcPr>
          <w:p w14:paraId="16558BA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72192BD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FCEE6C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2E5B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45181E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38</w:t>
            </w:r>
          </w:p>
        </w:tc>
        <w:tc>
          <w:tcPr>
            <w:tcW w:w="1788" w:type="dxa"/>
            <w:noWrap w:val="0"/>
            <w:vAlign w:val="center"/>
          </w:tcPr>
          <w:p w14:paraId="66A1C843">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防蜂服</w:t>
            </w:r>
          </w:p>
        </w:tc>
        <w:tc>
          <w:tcPr>
            <w:tcW w:w="1242" w:type="dxa"/>
            <w:noWrap w:val="0"/>
            <w:vAlign w:val="center"/>
          </w:tcPr>
          <w:p w14:paraId="5A01E1B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2套</w:t>
            </w:r>
          </w:p>
        </w:tc>
        <w:tc>
          <w:tcPr>
            <w:tcW w:w="1955" w:type="dxa"/>
            <w:noWrap w:val="0"/>
            <w:vAlign w:val="center"/>
          </w:tcPr>
          <w:p w14:paraId="30EA8FA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6A0C4C1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942316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90E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68A6BD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39</w:t>
            </w:r>
          </w:p>
        </w:tc>
        <w:tc>
          <w:tcPr>
            <w:tcW w:w="1788" w:type="dxa"/>
            <w:noWrap w:val="0"/>
            <w:vAlign w:val="center"/>
          </w:tcPr>
          <w:p w14:paraId="0D05AAD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急救箱</w:t>
            </w:r>
          </w:p>
        </w:tc>
        <w:tc>
          <w:tcPr>
            <w:tcW w:w="1242" w:type="dxa"/>
            <w:noWrap w:val="0"/>
            <w:vAlign w:val="center"/>
          </w:tcPr>
          <w:p w14:paraId="1E4DB9D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2个</w:t>
            </w:r>
          </w:p>
        </w:tc>
        <w:tc>
          <w:tcPr>
            <w:tcW w:w="1955" w:type="dxa"/>
            <w:noWrap w:val="0"/>
            <w:vAlign w:val="center"/>
          </w:tcPr>
          <w:p w14:paraId="50B9AAB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3554F76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53F370C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7ACC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DEDDD0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40</w:t>
            </w:r>
          </w:p>
        </w:tc>
        <w:tc>
          <w:tcPr>
            <w:tcW w:w="1788" w:type="dxa"/>
            <w:noWrap w:val="0"/>
            <w:vAlign w:val="center"/>
          </w:tcPr>
          <w:p w14:paraId="27F6B12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风力灭火机提式</w:t>
            </w:r>
          </w:p>
        </w:tc>
        <w:tc>
          <w:tcPr>
            <w:tcW w:w="1242" w:type="dxa"/>
            <w:noWrap w:val="0"/>
            <w:vAlign w:val="center"/>
          </w:tcPr>
          <w:p w14:paraId="1A828AC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3个</w:t>
            </w:r>
          </w:p>
        </w:tc>
        <w:tc>
          <w:tcPr>
            <w:tcW w:w="1955" w:type="dxa"/>
            <w:noWrap w:val="0"/>
            <w:vAlign w:val="center"/>
          </w:tcPr>
          <w:p w14:paraId="3599639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5889C10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3A9CB56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5812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2E45AFB">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41</w:t>
            </w:r>
          </w:p>
        </w:tc>
        <w:tc>
          <w:tcPr>
            <w:tcW w:w="1788" w:type="dxa"/>
            <w:noWrap w:val="0"/>
            <w:vAlign w:val="center"/>
          </w:tcPr>
          <w:p w14:paraId="1099084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风力灭火机</w:t>
            </w:r>
          </w:p>
        </w:tc>
        <w:tc>
          <w:tcPr>
            <w:tcW w:w="1242" w:type="dxa"/>
            <w:noWrap w:val="0"/>
            <w:vAlign w:val="center"/>
          </w:tcPr>
          <w:p w14:paraId="45118F1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2个</w:t>
            </w:r>
          </w:p>
        </w:tc>
        <w:tc>
          <w:tcPr>
            <w:tcW w:w="1955" w:type="dxa"/>
            <w:noWrap w:val="0"/>
            <w:vAlign w:val="center"/>
          </w:tcPr>
          <w:p w14:paraId="3B670376">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1EBC976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54E6B10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3D3C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0A71148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42</w:t>
            </w:r>
          </w:p>
        </w:tc>
        <w:tc>
          <w:tcPr>
            <w:tcW w:w="1788" w:type="dxa"/>
            <w:noWrap w:val="0"/>
            <w:vAlign w:val="center"/>
          </w:tcPr>
          <w:p w14:paraId="79EB260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应急背心</w:t>
            </w:r>
          </w:p>
        </w:tc>
        <w:tc>
          <w:tcPr>
            <w:tcW w:w="1242" w:type="dxa"/>
            <w:noWrap w:val="0"/>
            <w:vAlign w:val="center"/>
          </w:tcPr>
          <w:p w14:paraId="39FF42E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40件</w:t>
            </w:r>
          </w:p>
        </w:tc>
        <w:tc>
          <w:tcPr>
            <w:tcW w:w="1955" w:type="dxa"/>
            <w:noWrap w:val="0"/>
            <w:vAlign w:val="center"/>
          </w:tcPr>
          <w:p w14:paraId="2D0E299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61FEC18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C9EA94B">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47ED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440D1C4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43</w:t>
            </w:r>
          </w:p>
        </w:tc>
        <w:tc>
          <w:tcPr>
            <w:tcW w:w="1788" w:type="dxa"/>
            <w:noWrap w:val="0"/>
            <w:vAlign w:val="center"/>
          </w:tcPr>
          <w:p w14:paraId="5E6178A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破拆刀</w:t>
            </w:r>
          </w:p>
        </w:tc>
        <w:tc>
          <w:tcPr>
            <w:tcW w:w="1242" w:type="dxa"/>
            <w:noWrap w:val="0"/>
            <w:vAlign w:val="center"/>
          </w:tcPr>
          <w:p w14:paraId="69F643E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32把</w:t>
            </w:r>
          </w:p>
        </w:tc>
        <w:tc>
          <w:tcPr>
            <w:tcW w:w="1955" w:type="dxa"/>
            <w:noWrap w:val="0"/>
            <w:vAlign w:val="center"/>
          </w:tcPr>
          <w:p w14:paraId="0A60E13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5E2ACF3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ABB82E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C15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0F1B63F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44</w:t>
            </w:r>
          </w:p>
        </w:tc>
        <w:tc>
          <w:tcPr>
            <w:tcW w:w="1788" w:type="dxa"/>
            <w:noWrap w:val="0"/>
            <w:vAlign w:val="center"/>
          </w:tcPr>
          <w:p w14:paraId="598F5342">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油锯</w:t>
            </w:r>
          </w:p>
        </w:tc>
        <w:tc>
          <w:tcPr>
            <w:tcW w:w="1242" w:type="dxa"/>
            <w:noWrap w:val="0"/>
            <w:vAlign w:val="center"/>
          </w:tcPr>
          <w:p w14:paraId="7F7D9A54">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5把</w:t>
            </w:r>
          </w:p>
        </w:tc>
        <w:tc>
          <w:tcPr>
            <w:tcW w:w="1955" w:type="dxa"/>
            <w:noWrap w:val="0"/>
            <w:vAlign w:val="center"/>
          </w:tcPr>
          <w:p w14:paraId="58DC91E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4B182164">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81768D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0632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B25E19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45</w:t>
            </w:r>
          </w:p>
        </w:tc>
        <w:tc>
          <w:tcPr>
            <w:tcW w:w="1788" w:type="dxa"/>
            <w:noWrap w:val="0"/>
            <w:vAlign w:val="center"/>
          </w:tcPr>
          <w:p w14:paraId="17BB80E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森林灭火工具</w:t>
            </w:r>
          </w:p>
        </w:tc>
        <w:tc>
          <w:tcPr>
            <w:tcW w:w="1242" w:type="dxa"/>
            <w:noWrap w:val="0"/>
            <w:vAlign w:val="center"/>
          </w:tcPr>
          <w:p w14:paraId="62C74B4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6套</w:t>
            </w:r>
          </w:p>
        </w:tc>
        <w:tc>
          <w:tcPr>
            <w:tcW w:w="1955" w:type="dxa"/>
            <w:noWrap w:val="0"/>
            <w:vAlign w:val="center"/>
          </w:tcPr>
          <w:p w14:paraId="1C27E41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436CB00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C6C87B0">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4772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7F8BB96">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46</w:t>
            </w:r>
          </w:p>
        </w:tc>
        <w:tc>
          <w:tcPr>
            <w:tcW w:w="1788" w:type="dxa"/>
            <w:noWrap w:val="0"/>
            <w:vAlign w:val="center"/>
          </w:tcPr>
          <w:p w14:paraId="3DC5384D">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大军镐</w:t>
            </w:r>
          </w:p>
        </w:tc>
        <w:tc>
          <w:tcPr>
            <w:tcW w:w="1242" w:type="dxa"/>
            <w:noWrap w:val="0"/>
            <w:vAlign w:val="center"/>
          </w:tcPr>
          <w:p w14:paraId="3795751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9把</w:t>
            </w:r>
          </w:p>
        </w:tc>
        <w:tc>
          <w:tcPr>
            <w:tcW w:w="1955" w:type="dxa"/>
            <w:noWrap w:val="0"/>
            <w:vAlign w:val="center"/>
          </w:tcPr>
          <w:p w14:paraId="5D81FEA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483B247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04AF258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7234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4C1BFE5">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47</w:t>
            </w:r>
          </w:p>
        </w:tc>
        <w:tc>
          <w:tcPr>
            <w:tcW w:w="1788" w:type="dxa"/>
            <w:noWrap w:val="0"/>
            <w:vAlign w:val="center"/>
          </w:tcPr>
          <w:p w14:paraId="045416F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铁扫把</w:t>
            </w:r>
          </w:p>
        </w:tc>
        <w:tc>
          <w:tcPr>
            <w:tcW w:w="1242" w:type="dxa"/>
            <w:noWrap w:val="0"/>
            <w:vAlign w:val="center"/>
          </w:tcPr>
          <w:p w14:paraId="62CAFFE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70把</w:t>
            </w:r>
          </w:p>
        </w:tc>
        <w:tc>
          <w:tcPr>
            <w:tcW w:w="1955" w:type="dxa"/>
            <w:noWrap w:val="0"/>
            <w:vAlign w:val="center"/>
          </w:tcPr>
          <w:p w14:paraId="7985FA2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22D3508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1B32F04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769F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8E6055F">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48</w:t>
            </w:r>
          </w:p>
        </w:tc>
        <w:tc>
          <w:tcPr>
            <w:tcW w:w="1788" w:type="dxa"/>
            <w:noWrap w:val="0"/>
            <w:vAlign w:val="center"/>
          </w:tcPr>
          <w:p w14:paraId="21A3617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铜锣</w:t>
            </w:r>
          </w:p>
        </w:tc>
        <w:tc>
          <w:tcPr>
            <w:tcW w:w="1242" w:type="dxa"/>
            <w:noWrap w:val="0"/>
            <w:vAlign w:val="center"/>
          </w:tcPr>
          <w:p w14:paraId="44F946C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11个</w:t>
            </w:r>
          </w:p>
        </w:tc>
        <w:tc>
          <w:tcPr>
            <w:tcW w:w="1955" w:type="dxa"/>
            <w:noWrap w:val="0"/>
            <w:vAlign w:val="center"/>
          </w:tcPr>
          <w:p w14:paraId="0AF51DC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68BCF2B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420AA35">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1067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5F71AD0C">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49</w:t>
            </w:r>
          </w:p>
        </w:tc>
        <w:tc>
          <w:tcPr>
            <w:tcW w:w="1788" w:type="dxa"/>
            <w:noWrap w:val="0"/>
            <w:vAlign w:val="center"/>
          </w:tcPr>
          <w:p w14:paraId="41AA414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铁锹</w:t>
            </w:r>
          </w:p>
        </w:tc>
        <w:tc>
          <w:tcPr>
            <w:tcW w:w="1242" w:type="dxa"/>
            <w:noWrap w:val="0"/>
            <w:vAlign w:val="center"/>
          </w:tcPr>
          <w:p w14:paraId="42D31FC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21把</w:t>
            </w:r>
          </w:p>
        </w:tc>
        <w:tc>
          <w:tcPr>
            <w:tcW w:w="1955" w:type="dxa"/>
            <w:noWrap w:val="0"/>
            <w:vAlign w:val="center"/>
          </w:tcPr>
          <w:p w14:paraId="10D2EFF3">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5A9DDE2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5B1F83EF">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r w14:paraId="418C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7306B0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50</w:t>
            </w:r>
          </w:p>
        </w:tc>
        <w:tc>
          <w:tcPr>
            <w:tcW w:w="1788" w:type="dxa"/>
            <w:noWrap w:val="0"/>
            <w:vAlign w:val="center"/>
          </w:tcPr>
          <w:p w14:paraId="0F5BBC9A">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消防腰带</w:t>
            </w:r>
          </w:p>
        </w:tc>
        <w:tc>
          <w:tcPr>
            <w:tcW w:w="1242" w:type="dxa"/>
            <w:noWrap w:val="0"/>
            <w:vAlign w:val="center"/>
          </w:tcPr>
          <w:p w14:paraId="5AB8357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10条</w:t>
            </w:r>
          </w:p>
        </w:tc>
        <w:tc>
          <w:tcPr>
            <w:tcW w:w="1955" w:type="dxa"/>
            <w:noWrap w:val="0"/>
            <w:vAlign w:val="center"/>
          </w:tcPr>
          <w:p w14:paraId="2D5193D2">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应急物资储备仓库</w:t>
            </w:r>
          </w:p>
        </w:tc>
        <w:tc>
          <w:tcPr>
            <w:tcW w:w="1247" w:type="dxa"/>
            <w:noWrap w:val="0"/>
            <w:vAlign w:val="center"/>
          </w:tcPr>
          <w:p w14:paraId="66A5340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张艳</w:t>
            </w:r>
          </w:p>
        </w:tc>
        <w:tc>
          <w:tcPr>
            <w:tcW w:w="1738" w:type="dxa"/>
            <w:noWrap w:val="0"/>
            <w:vAlign w:val="center"/>
          </w:tcPr>
          <w:p w14:paraId="78D9D9DC">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13062336110</w:t>
            </w:r>
          </w:p>
        </w:tc>
      </w:tr>
    </w:tbl>
    <w:p w14:paraId="3A3B33D0">
      <w:pPr>
        <w:rPr>
          <w:rFonts w:hint="eastAsia" w:ascii="宋体" w:hAnsi="宋体" w:eastAsia="宋体" w:cs="宋体"/>
          <w:sz w:val="24"/>
          <w:szCs w:val="24"/>
        </w:rPr>
      </w:pPr>
    </w:p>
    <w:p w14:paraId="3D52C4B7">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default" w:ascii="宋体" w:hAnsi="宋体" w:eastAsia="宋体" w:cs="宋体"/>
          <w:sz w:val="21"/>
          <w:szCs w:val="21"/>
          <w:lang w:val="en-US" w:eastAsia="zh-CN"/>
        </w:rPr>
      </w:pPr>
      <w:r>
        <w:rPr>
          <w:rFonts w:hint="eastAsia" w:ascii="宋体" w:hAnsi="宋体" w:eastAsia="宋体" w:cs="宋体"/>
          <w:sz w:val="21"/>
          <w:szCs w:val="21"/>
        </w:rPr>
        <w:br w:type="page"/>
      </w:r>
      <w:r>
        <w:rPr>
          <w:rFonts w:hint="eastAsia" w:cs="宋体"/>
          <w:b/>
          <w:bCs/>
          <w:color w:val="auto"/>
          <w:sz w:val="28"/>
          <w:szCs w:val="28"/>
          <w:lang w:val="en-US" w:eastAsia="zh-CN"/>
        </w:rPr>
        <w:t>附件3：开州区应急物资储备情况</w:t>
      </w:r>
    </w:p>
    <w:p w14:paraId="2E0CF60D">
      <w:pPr>
        <w:pStyle w:val="4"/>
        <w:spacing w:before="156" w:beforeLines="50" w:after="156" w:afterLines="50"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 xml:space="preserve">  开州区生态环境局应急物资储备情况</w:t>
      </w:r>
    </w:p>
    <w:tbl>
      <w:tblPr>
        <w:tblStyle w:val="16"/>
        <w:tblW w:w="0" w:type="auto"/>
        <w:tblInd w:w="0" w:type="dxa"/>
        <w:tblLayout w:type="fixed"/>
        <w:tblCellMar>
          <w:top w:w="0" w:type="dxa"/>
          <w:left w:w="0" w:type="dxa"/>
          <w:bottom w:w="0" w:type="dxa"/>
          <w:right w:w="0" w:type="dxa"/>
        </w:tblCellMar>
      </w:tblPr>
      <w:tblGrid>
        <w:gridCol w:w="339"/>
        <w:gridCol w:w="1599"/>
        <w:gridCol w:w="1519"/>
        <w:gridCol w:w="1223"/>
        <w:gridCol w:w="503"/>
        <w:gridCol w:w="478"/>
        <w:gridCol w:w="886"/>
        <w:gridCol w:w="853"/>
        <w:gridCol w:w="930"/>
      </w:tblGrid>
      <w:tr w14:paraId="4910CD3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539A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序号</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127E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产品名称</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9EF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物资类别</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4EA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规格型号</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FCC7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数量</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1FA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单位</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9B1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存放地点</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7A5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使用状况</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A7BD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管理部门</w:t>
            </w:r>
          </w:p>
        </w:tc>
      </w:tr>
      <w:tr w14:paraId="7856664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1F8D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BA0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GPS定位仪</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E35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7F9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G120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F287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E85C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42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CFE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18E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1419FCE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496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2F7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激光测距望远镜</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E8AC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D65D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1400A</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D42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258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D56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D50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4FBD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031663C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317B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2C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DB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267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GP328</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4F1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0233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对</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817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643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C2E2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569D9CB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2F7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49F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应急录音设备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A85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C7F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5505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66D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E80B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A3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6C55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591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663168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560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37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应急现场工作服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4A8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59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RD96-T</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B09C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409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070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5C4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173A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0D5E60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324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90E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液体化学防护服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15E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62C0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FH-2NP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4038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9AE9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DF0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CF2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599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17E83AD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2E7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9A9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气体化学防护服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3DC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5A65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FH-3NP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C688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9FB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90F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15D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7E6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5AD9102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CFA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5C4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易燃易爆气体报警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53C7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B052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SLT-606</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0C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DC2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0C9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98FD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FBE9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50FA1BF4">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3B9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534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有毒有害气体报警装置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0F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507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73D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343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0D6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97E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95A0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DA4AE3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58F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6722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辐射报警装置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B41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121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E6C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3D4A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2AE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1A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0C2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4C1A9BE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F91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2C9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医用急救箱</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DFE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B95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18村铝合金</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9A0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0B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65E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45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E06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014FC7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A394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F42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应急供电、照明设备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BFF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206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MT1000S</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F987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069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697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2A6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024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0594BD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DA5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4DC3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睡袋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6BE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23B4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CM-040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91C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09C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505F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34E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208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4077877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A73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DE06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帐篷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322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0367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CS070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B9C3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669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675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CE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883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0105D99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703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C3A9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执法记录仪</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C8E99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16E31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DSJ-A3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8B8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0EB1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9B2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BF8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164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732BB43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3BD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46512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台式电脑</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C34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17C72">
            <w:pPr>
              <w:jc w:val="center"/>
              <w:rPr>
                <w:rFonts w:hint="eastAsia" w:ascii="宋体" w:hAnsi="宋体" w:cs="宋体"/>
                <w:color w:val="000000"/>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E28FF7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A6F5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47C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47A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ACA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6B59C6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DD5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17</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DFCA7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应急车辆及辅助设备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6352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FF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本田</w:t>
            </w: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506D6C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F11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辆</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82C2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E95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46E6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2FAE41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BB0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18</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0D8F5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固定电话</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F3C6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B9666">
            <w:pPr>
              <w:jc w:val="center"/>
              <w:rPr>
                <w:rFonts w:hint="eastAsia" w:ascii="宋体" w:hAnsi="宋体" w:cs="宋体"/>
                <w:color w:val="000000"/>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8B896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CD2F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部</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E465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123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6D46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0627A4F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4971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19</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084BAC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7A26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0186A">
            <w:pPr>
              <w:jc w:val="center"/>
              <w:rPr>
                <w:rFonts w:hint="eastAsia" w:ascii="宋体" w:hAnsi="宋体" w:cs="宋体"/>
                <w:color w:val="000000"/>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0185C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9BC2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EB2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973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B60B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5645ACC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5A6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ED4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传真机</w:t>
            </w:r>
          </w:p>
        </w:tc>
        <w:tc>
          <w:tcPr>
            <w:tcW w:w="151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4CF17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D641481">
            <w:pPr>
              <w:jc w:val="center"/>
              <w:rPr>
                <w:rFonts w:hint="eastAsia" w:ascii="宋体" w:hAnsi="宋体" w:cs="宋体"/>
                <w:color w:val="000000"/>
                <w:sz w:val="18"/>
                <w:szCs w:val="18"/>
              </w:rPr>
            </w:pP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305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618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F9C4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1C4F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3E8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0DA81E3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AE3FF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21</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5B1138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摄像机</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29BF1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FBB3A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佳能</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ABA78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DBD79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BC16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C45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CB0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27E685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D7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07BE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防爆摄像机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5022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593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Exdv1301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AF8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2DB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03F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B594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ED6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B2528A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DC8D0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26C9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防爆照相机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F66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21D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Excam1201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BD1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B2C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AB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5AB4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052F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5702F6C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85A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DA74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防爆对讲机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3717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D42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PT7200 Ex</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847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CB5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BC4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27D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724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B5ACD5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8A739F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6CB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移动便携式打印机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3C38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C31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Officejet 150 mobile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275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435C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DC6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EA0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B6A1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1D661B3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629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19B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便携式柴油发电机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E5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BAD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KDF4000XE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ADF5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3385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8CC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C2E3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0E81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78AF09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9E8B2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067F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防爆抽油泵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8D3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3C4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50CYZ-60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0E8A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CD8C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036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C9B1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676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EDAB19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B2D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7A1A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水泵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564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96D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50WQ20-33-5.5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8CB9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EDA3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5E9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D860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B17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1A003EB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D6D6F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68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吸油毡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D70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12B5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PP-1/PP-2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97A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0B3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6838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1A4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8A7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7D3CCAD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F2DB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0D5B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吸油棉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D62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D0C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OP002-B</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745A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120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59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C48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530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0C96115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F2B31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1780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黄色吸油吸液棉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0379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26EF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HOP004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BC7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535D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94C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D660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BE3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F94407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0586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BD8D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吸油卷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DB06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FFE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OR004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742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926D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卷</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95FC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5798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4444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A05929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5B764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617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吸油索</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031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047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OS20*3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DCE9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372C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EA9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9EE7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2D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4910B218">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441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4B0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吸油片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A9E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A81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OP002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1CB5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D322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025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78C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D93A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D40E12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45E296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262D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PVC围油栏</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05C9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堵漏、收集器材/设备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E82C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PVC1500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00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F547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8F53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D82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F60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643F570">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554A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1977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消防水龙带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B85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4AC5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13-100-25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BFC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846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4F61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53E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F43E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8C41A1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12A731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E28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抽油管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B27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61BF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PVC</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5C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E559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B2B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50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3DC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7D65DAF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9C2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C84E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防护手套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3D9E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6E88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辉安工业手套</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7D14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8E38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129C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197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E78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81F786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E00B1B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39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DA69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耐高温手套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293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E05B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LC-S59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4D25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2FB6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双</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C99B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1F4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9E53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493880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519B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F946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消油剂</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7152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226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44E1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A51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694A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49C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2EAA8">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27169D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C82FC5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3205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化学品泄露应急包</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73D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AE7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YJB-001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E20E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D654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932F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5F8F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271C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50C648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B743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EC53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编织袋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4824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B8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90X130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674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100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8283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E7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3A90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6FEC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38812C5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1F2E44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43</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0E6261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铁锹</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C4EA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F5F7F4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1626</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295EE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189390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AA98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3889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886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7EA9F45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A5C2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794E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十字铁镐</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5F5B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D703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G102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601BF">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3E1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75F2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43FC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B6F1C">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2B3504C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3B54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E478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撬棍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F36E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F970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1200X20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AE7F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D23F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C4A0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E49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0198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775A1AD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6156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E14D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安全带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9321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741B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YH-7009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9804E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39A0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E8E4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5D0F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1A59E">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r w14:paraId="6B166F0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7FEA2">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47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A45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防毒面罩</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8E50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00C57">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6200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6F7A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DDF60">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10A6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EC5B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C140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区应急管理中心</w:t>
            </w:r>
          </w:p>
        </w:tc>
      </w:tr>
    </w:tbl>
    <w:p w14:paraId="4301E0CD">
      <w:pPr>
        <w:pStyle w:val="13"/>
        <w:ind w:firstLine="482"/>
        <w:rPr>
          <w:sz w:val="24"/>
          <w:szCs w:val="24"/>
        </w:rPr>
        <w:sectPr>
          <w:pgSz w:w="11906" w:h="16838"/>
          <w:pgMar w:top="1440" w:right="1803" w:bottom="1440" w:left="1803" w:header="851" w:footer="992" w:gutter="0"/>
          <w:pgNumType w:fmt="decimal"/>
          <w:cols w:space="720" w:num="1"/>
          <w:docGrid w:type="lines" w:linePitch="312" w:charSpace="0"/>
        </w:sectPr>
      </w:pPr>
    </w:p>
    <w:p w14:paraId="663781E5">
      <w:pPr>
        <w:pStyle w:val="4"/>
        <w:spacing w:before="156" w:beforeLines="50" w:after="156" w:afterLines="50" w:line="360" w:lineRule="auto"/>
        <w:jc w:val="left"/>
        <w:rPr>
          <w:rFonts w:hint="eastAsia" w:ascii="Times New Roman" w:hAnsi="Times New Roman" w:eastAsia="宋体"/>
          <w:sz w:val="24"/>
          <w:szCs w:val="24"/>
        </w:rPr>
        <w:sectPr>
          <w:pgSz w:w="11906" w:h="16838"/>
          <w:pgMar w:top="1440" w:right="1803" w:bottom="1440" w:left="1803" w:header="851" w:footer="992" w:gutter="0"/>
          <w:pgNumType w:fmt="decimal"/>
          <w:cols w:space="720" w:num="1"/>
          <w:docGrid w:type="lines" w:linePitch="312" w:charSpace="0"/>
        </w:sectPr>
      </w:pPr>
      <w:bookmarkStart w:id="174" w:name="_Toc30059"/>
      <w:r>
        <w:rPr>
          <w:rFonts w:hint="eastAsia" w:cs="宋体" w:asciiTheme="minorHAnsi" w:hAnsiTheme="minorHAnsi" w:eastAsiaTheme="minorEastAsia"/>
          <w:b/>
          <w:bCs/>
          <w:color w:val="auto"/>
          <w:kern w:val="2"/>
          <w:sz w:val="28"/>
          <w:szCs w:val="28"/>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723265</wp:posOffset>
                </wp:positionH>
                <wp:positionV relativeFrom="paragraph">
                  <wp:posOffset>5645785</wp:posOffset>
                </wp:positionV>
                <wp:extent cx="216535" cy="206375"/>
                <wp:effectExtent l="24130" t="26035" r="26035" b="34290"/>
                <wp:wrapNone/>
                <wp:docPr id="3" name="五角星 3"/>
                <wp:cNvGraphicFramePr/>
                <a:graphic xmlns:a="http://schemas.openxmlformats.org/drawingml/2006/main">
                  <a:graphicData uri="http://schemas.microsoft.com/office/word/2010/wordprocessingShape">
                    <wps:wsp>
                      <wps:cNvSpPr/>
                      <wps:spPr>
                        <a:xfrm>
                          <a:off x="0" y="0"/>
                          <a:ext cx="216535" cy="206375"/>
                        </a:xfrm>
                        <a:prstGeom prst="star5">
                          <a:avLst/>
                        </a:prstGeom>
                        <a:solidFill>
                          <a:srgbClr val="FF0000"/>
                        </a:solidFill>
                        <a:ln w="15875" cap="flat" cmpd="sng">
                          <a:solidFill>
                            <a:srgbClr val="FF0000"/>
                          </a:solidFill>
                          <a:prstDash val="solid"/>
                          <a:miter/>
                          <a:headEnd type="none" w="med" len="med"/>
                          <a:tailEnd type="none" w="med" len="med"/>
                        </a:ln>
                      </wps:spPr>
                      <wps:txbx>
                        <w:txbxContent>
                          <w:p w14:paraId="30E06C04"/>
                        </w:txbxContent>
                      </wps:txbx>
                      <wps:bodyPr upright="1"/>
                    </wps:wsp>
                  </a:graphicData>
                </a:graphic>
              </wp:anchor>
            </w:drawing>
          </mc:Choice>
          <mc:Fallback>
            <w:pict>
              <v:shape id="_x0000_s1026" o:spid="_x0000_s1026" style="position:absolute;left:0pt;margin-left:56.95pt;margin-top:444.55pt;height:16.25pt;width:17.05pt;z-index:251676672;mso-width-relative:page;mso-height-relative:page;" fillcolor="#FF0000" filled="t" stroked="t" coordsize="216535,206375" o:gfxdata="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xyNoAAAALAQAADwAAAAAAAAABACAAAAAiAAAA&#10;ZHJzL2Rvd25yZXYueG1sUEsBAhQAFAAAAAgAh07iQDWx/e0FAgAALQQAAA4AAAAAAAAAAQAgAAAA&#10;KQEAAGRycy9lMm9Eb2MueG1sUEsFBgAAAAAGAAYAWQEAAKAFAAAAAA==&#10;" path="m0,78828l82709,78828,108267,0,133825,78828,216534,78828,149621,127546,175180,206374,108267,157655,41354,206374,66913,127546xe">
                <v:path textboxrect="0,0,216535,206375" o:connectlocs="108267,0;0,78828;41354,206374;175180,206374;216534,78828" o:connectangles="247,164,82,82,0"/>
                <v:fill on="t" focussize="0,0"/>
                <v:stroke weight="1.25pt" color="#FF0000" joinstyle="miter"/>
                <v:imagedata o:title=""/>
                <o:lock v:ext="edit" aspectratio="f"/>
                <v:textbox>
                  <w:txbxContent>
                    <w:p w14:paraId="30E06C04"/>
                  </w:txbxContent>
                </v:textbox>
              </v:shape>
            </w:pict>
          </mc:Fallback>
        </mc:AlternateContent>
      </w:r>
      <w:r>
        <w:rPr>
          <w:rFonts w:hint="eastAsia" w:cs="宋体" w:asciiTheme="minorHAnsi" w:hAnsiTheme="minorHAnsi" w:eastAsiaTheme="minorEastAsia"/>
          <w:b/>
          <w:bCs/>
          <w:color w:val="auto"/>
          <w:kern w:val="2"/>
          <w:sz w:val="28"/>
          <w:szCs w:val="28"/>
          <w:lang w:val="en-US" w:eastAsia="zh-CN" w:bidi="ar-SA"/>
        </w:rPr>
        <w:t>附图1：开州区行政区划图</w:t>
      </w:r>
      <w:r>
        <w:rPr>
          <w:rFonts w:hint="eastAsia" w:ascii="Times New Roman" w:hAnsi="Times New Roman" w:eastAsia="宋体"/>
          <w:sz w:val="24"/>
          <w:szCs w:val="24"/>
        </w:rPr>
        <w:drawing>
          <wp:inline distT="0" distB="0" distL="114300" distR="114300">
            <wp:extent cx="5256530" cy="6506210"/>
            <wp:effectExtent l="0" t="0" r="1270" b="8890"/>
            <wp:docPr id="7" name="图片 1" descr="201912220838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9122208385770"/>
                    <pic:cNvPicPr>
                      <a:picLocks noChangeAspect="1"/>
                    </pic:cNvPicPr>
                  </pic:nvPicPr>
                  <pic:blipFill>
                    <a:blip r:embed="rId24"/>
                    <a:stretch>
                      <a:fillRect/>
                    </a:stretch>
                  </pic:blipFill>
                  <pic:spPr>
                    <a:xfrm>
                      <a:off x="0" y="0"/>
                      <a:ext cx="5256530" cy="6506210"/>
                    </a:xfrm>
                    <a:prstGeom prst="rect">
                      <a:avLst/>
                    </a:prstGeom>
                    <a:noFill/>
                    <a:ln>
                      <a:noFill/>
                    </a:ln>
                  </pic:spPr>
                </pic:pic>
              </a:graphicData>
            </a:graphic>
          </wp:inline>
        </w:drawing>
      </w:r>
      <w:bookmarkEnd w:id="174"/>
    </w:p>
    <w:p w14:paraId="11E6F7B7">
      <w:pPr>
        <w:pStyle w:val="4"/>
        <w:spacing w:before="156" w:beforeLines="50" w:after="156" w:afterLines="50" w:line="360" w:lineRule="auto"/>
        <w:jc w:val="left"/>
        <w:rPr>
          <w:rFonts w:hint="eastAsia" w:ascii="Times New Roman" w:hAnsi="Times New Roman" w:eastAsia="宋体"/>
          <w:sz w:val="24"/>
          <w:szCs w:val="24"/>
        </w:rPr>
        <w:sectPr>
          <w:pgSz w:w="11906" w:h="16838"/>
          <w:pgMar w:top="1440" w:right="1803" w:bottom="1440" w:left="1803" w:header="851" w:footer="992" w:gutter="0"/>
          <w:pgNumType w:fmt="decimal"/>
          <w:cols w:space="720" w:num="1"/>
          <w:docGrid w:type="lines" w:linePitch="312" w:charSpace="0"/>
        </w:sectPr>
      </w:pPr>
      <w:bookmarkStart w:id="175" w:name="_Toc6122"/>
      <w:r>
        <w:rPr>
          <w:rFonts w:hint="eastAsia" w:cs="宋体" w:asciiTheme="minorHAnsi" w:hAnsiTheme="minorHAnsi" w:eastAsiaTheme="minorEastAsia"/>
          <w:b/>
          <w:bCs/>
          <w:color w:val="auto"/>
          <w:kern w:val="2"/>
          <w:sz w:val="28"/>
          <w:szCs w:val="28"/>
          <w:lang w:val="en-US" w:eastAsia="zh-CN" w:bidi="ar-SA"/>
        </w:rPr>
        <w:t>附图2：开州区水系图</w:t>
      </w:r>
      <w:r>
        <w:rPr>
          <w:rFonts w:hint="eastAsia" w:ascii="Times New Roman" w:hAnsi="Times New Roman" w:eastAsia="宋体"/>
          <w:sz w:val="24"/>
          <w:szCs w:val="24"/>
        </w:rPr>
        <w:drawing>
          <wp:inline distT="0" distB="0" distL="114300" distR="114300">
            <wp:extent cx="5256530" cy="6506210"/>
            <wp:effectExtent l="0" t="0" r="1270" b="8890"/>
            <wp:docPr id="13" name="图片 2" descr="20191222083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2019122208393394"/>
                    <pic:cNvPicPr>
                      <a:picLocks noChangeAspect="1"/>
                    </pic:cNvPicPr>
                  </pic:nvPicPr>
                  <pic:blipFill>
                    <a:blip r:embed="rId25"/>
                    <a:stretch>
                      <a:fillRect/>
                    </a:stretch>
                  </pic:blipFill>
                  <pic:spPr>
                    <a:xfrm>
                      <a:off x="0" y="0"/>
                      <a:ext cx="5256530" cy="6506210"/>
                    </a:xfrm>
                    <a:prstGeom prst="rect">
                      <a:avLst/>
                    </a:prstGeom>
                    <a:noFill/>
                    <a:ln>
                      <a:noFill/>
                    </a:ln>
                  </pic:spPr>
                </pic:pic>
              </a:graphicData>
            </a:graphic>
          </wp:inline>
        </w:drawing>
      </w:r>
      <w:bookmarkEnd w:id="175"/>
    </w:p>
    <w:p w14:paraId="25A2BAAD">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cs="宋体"/>
          <w:b/>
          <w:bCs/>
          <w:color w:val="auto"/>
          <w:sz w:val="28"/>
          <w:szCs w:val="28"/>
          <w:lang w:val="en-US" w:eastAsia="zh-CN"/>
        </w:rPr>
      </w:pPr>
      <w:bookmarkStart w:id="176" w:name="_Toc11769"/>
      <w:r>
        <w:rPr>
          <w:rFonts w:hint="eastAsia" w:cs="宋体"/>
          <w:b/>
          <w:bCs/>
          <w:color w:val="auto"/>
          <w:sz w:val="28"/>
          <w:szCs w:val="28"/>
          <w:lang w:val="en-US" w:eastAsia="zh-CN"/>
        </w:rPr>
        <w:t>附图3：开州区五通乡老林沟水源地地理位置图</w:t>
      </w:r>
      <w:bookmarkEnd w:id="176"/>
    </w:p>
    <w:p w14:paraId="04B7AF7E">
      <w:pPr>
        <w:rPr>
          <w:rFonts w:hint="eastAsia"/>
        </w:rPr>
        <w:sectPr>
          <w:pgSz w:w="11906" w:h="16838"/>
          <w:pgMar w:top="1440" w:right="1803" w:bottom="1440" w:left="1803" w:header="851" w:footer="992" w:gutter="0"/>
          <w:pgNumType w:fmt="decimal"/>
          <w:cols w:space="720" w:num="1"/>
          <w:docGrid w:type="lines" w:linePitch="319" w:charSpace="0"/>
        </w:sectPr>
      </w:pPr>
      <w:r>
        <w:drawing>
          <wp:inline distT="0" distB="0" distL="114300" distR="114300">
            <wp:extent cx="5429885" cy="3314700"/>
            <wp:effectExtent l="0" t="0" r="1841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5429885" cy="3314700"/>
                    </a:xfrm>
                    <a:prstGeom prst="rect">
                      <a:avLst/>
                    </a:prstGeom>
                    <a:noFill/>
                    <a:ln>
                      <a:noFill/>
                    </a:ln>
                  </pic:spPr>
                </pic:pic>
              </a:graphicData>
            </a:graphic>
          </wp:inline>
        </w:drawing>
      </w:r>
    </w:p>
    <w:p w14:paraId="258565D7">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cs="宋体"/>
          <w:b/>
          <w:bCs/>
          <w:color w:val="auto"/>
          <w:sz w:val="28"/>
          <w:szCs w:val="28"/>
          <w:lang w:val="en-US" w:eastAsia="zh-CN"/>
        </w:rPr>
      </w:pPr>
      <w:bookmarkStart w:id="177" w:name="_Toc8343"/>
      <w:r>
        <w:rPr>
          <w:rFonts w:hint="eastAsia" w:cs="宋体"/>
          <w:b/>
          <w:bCs/>
          <w:color w:val="auto"/>
          <w:sz w:val="28"/>
          <w:szCs w:val="28"/>
          <w:lang w:val="en-US" w:eastAsia="zh-CN"/>
        </w:rPr>
        <w:t>附图4：饮用水水源地及移动风险源分布图</w:t>
      </w:r>
    </w:p>
    <w:p w14:paraId="5FDF3145">
      <w:pPr>
        <w:pStyle w:val="4"/>
        <w:spacing w:before="156" w:beforeLines="50" w:after="156" w:afterLines="50" w:line="360" w:lineRule="auto"/>
        <w:jc w:val="left"/>
        <w:rPr>
          <w:rFonts w:hint="eastAsia" w:ascii="Times New Roman" w:hAnsi="Times New Roman" w:eastAsia="宋体"/>
          <w:sz w:val="21"/>
          <w:szCs w:val="21"/>
          <w:lang w:eastAsia="zh-CN"/>
        </w:rPr>
      </w:pPr>
    </w:p>
    <w:bookmarkEnd w:id="177"/>
    <w:p w14:paraId="5A17976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outlineLvl w:val="2"/>
        <w:rPr>
          <w:rFonts w:hint="default" w:ascii="宋体" w:hAnsi="宋体" w:eastAsia="宋体" w:cs="宋体"/>
          <w:color w:val="auto"/>
          <w:kern w:val="2"/>
          <w:sz w:val="28"/>
          <w:szCs w:val="28"/>
          <w:lang w:val="en-US" w:eastAsia="zh-CN" w:bidi="ar-SA"/>
        </w:rPr>
      </w:pPr>
      <w:r>
        <w:rPr>
          <w:rFonts w:hint="default" w:ascii="Times New Roman" w:hAnsi="Times New Roman" w:cs="Times New Roman"/>
          <w:color w:val="000000"/>
        </w:rPr>
        <w:drawing>
          <wp:inline distT="0" distB="0" distL="114300" distR="114300">
            <wp:extent cx="5426075" cy="4436745"/>
            <wp:effectExtent l="0" t="0" r="3175" b="19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7"/>
                    <a:stretch>
                      <a:fillRect/>
                    </a:stretch>
                  </pic:blipFill>
                  <pic:spPr>
                    <a:xfrm>
                      <a:off x="0" y="0"/>
                      <a:ext cx="5426075" cy="44367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0022334-22A1-437A-B710-105802C64C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C42C87C-6A76-4F3D-B337-3F9AC4AD6406}"/>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3" w:fontKey="{7C5EE8FA-2FB6-48E9-96B3-9D5C46A16DB1}"/>
  </w:font>
  <w:font w:name="仿宋_GB2312">
    <w:altName w:val="仿宋"/>
    <w:panose1 w:val="02010609030101010101"/>
    <w:charset w:val="86"/>
    <w:family w:val="modern"/>
    <w:pitch w:val="default"/>
    <w:sig w:usb0="00000000" w:usb1="00000000" w:usb2="00000000" w:usb3="00000000" w:csb0="00040000" w:csb1="00000000"/>
    <w:embedRegular r:id="rId4" w:fontKey="{17D0E64C-03C9-4F32-B932-A0588B06A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B86A">
    <w:pPr>
      <w:pStyle w:val="10"/>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DE6A">
    <w:pPr>
      <w:pStyle w:val="10"/>
      <w:framePr w:wrap="around" w:vAnchor="text" w:hAnchor="margin" w:xAlign="right" w:y="1"/>
      <w:rPr>
        <w:rStyle w:val="20"/>
        <w:rFonts w:hint="eastAsia"/>
      </w:rPr>
    </w:pPr>
    <w:r>
      <w:fldChar w:fldCharType="begin"/>
    </w:r>
    <w:r>
      <w:rPr>
        <w:rStyle w:val="20"/>
      </w:rPr>
      <w:instrText xml:space="preserve">PAGE  </w:instrText>
    </w:r>
    <w:r>
      <w:fldChar w:fldCharType="end"/>
    </w:r>
  </w:p>
  <w:p w14:paraId="37758493">
    <w:pPr>
      <w:pStyle w:val="10"/>
      <w:ind w:right="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729A">
    <w:pPr>
      <w:pStyle w:val="10"/>
      <w:jc w:val="center"/>
      <w:rPr>
        <w:rFonts w:hint="eastAsia"/>
      </w:rPr>
    </w:pPr>
    <w:r>
      <w:fldChar w:fldCharType="begin"/>
    </w:r>
    <w:r>
      <w:instrText xml:space="preserve"> PAGE   \* MERGEFORMAT </w:instrText>
    </w:r>
    <w:r>
      <w:fldChar w:fldCharType="separate"/>
    </w:r>
    <w:r>
      <w:rPr>
        <w:rFonts w:hint="eastAsia"/>
        <w:lang w:val="zh-CN"/>
      </w:rPr>
      <w:t>52</w:t>
    </w:r>
    <w:r>
      <w:rPr>
        <w:rFonts w:hint="eastAsia"/>
        <w:lang w:val="zh-CN"/>
      </w:rPr>
      <w:fldChar w:fldCharType="end"/>
    </w:r>
  </w:p>
  <w:p w14:paraId="21C5CEBF">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9143D">
    <w:pPr>
      <w:pStyle w:val="10"/>
      <w:wordWrap w:val="0"/>
      <w:jc w:val="right"/>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E6BCC0">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IX</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7E6BCC0">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IX</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4D7FB">
    <w:pPr>
      <w:pStyle w:val="10"/>
      <w:ind w:firstLine="36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E437A">
                          <w:pPr>
                            <w:pStyle w:val="1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EEE437A">
                    <w:pPr>
                      <w:pStyle w:val="10"/>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B3F9">
    <w:pPr>
      <w:pStyle w:val="11"/>
      <w:pBdr>
        <w:bottom w:val="none" w:color="auto" w:sz="0" w:space="0"/>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160FD3"/>
    <w:rsid w:val="0B9F4AD2"/>
    <w:rsid w:val="0E1713C3"/>
    <w:rsid w:val="13FA11BC"/>
    <w:rsid w:val="23E0000F"/>
    <w:rsid w:val="29591071"/>
    <w:rsid w:val="2C373707"/>
    <w:rsid w:val="3E160FD3"/>
    <w:rsid w:val="42D13982"/>
    <w:rsid w:val="43AD04C3"/>
    <w:rsid w:val="598277E7"/>
    <w:rsid w:val="77670561"/>
    <w:rsid w:val="7B503DBB"/>
    <w:rsid w:val="7E292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120" w:line="412" w:lineRule="auto"/>
      <w:ind w:firstLine="200" w:firstLineChars="200"/>
      <w:outlineLvl w:val="1"/>
    </w:pPr>
    <w:rPr>
      <w:rFonts w:ascii="Cambria" w:hAnsi="Cambria" w:eastAsia="宋体" w:cs="宋体"/>
      <w:b/>
      <w:bCs/>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9"/>
    <w:pPr>
      <w:keepNext/>
      <w:keepLines/>
      <w:spacing w:before="280" w:after="290" w:line="376" w:lineRule="auto"/>
      <w:outlineLvl w:val="3"/>
    </w:pPr>
    <w:rPr>
      <w:rFonts w:ascii="Arial" w:hAnsi="Arial" w:eastAsia="黑体"/>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List 3"/>
    <w:basedOn w:val="1"/>
    <w:next w:val="1"/>
    <w:qFormat/>
    <w:uiPriority w:val="0"/>
    <w:pPr>
      <w:spacing w:line="288" w:lineRule="auto"/>
      <w:ind w:left="1260" w:hanging="420"/>
    </w:pPr>
    <w:rPr>
      <w:rFonts w:ascii="Calibri" w:hAnsi="Calibri" w:eastAsia="仿宋" w:cs="宋体"/>
    </w:rPr>
  </w:style>
  <w:style w:type="paragraph" w:styleId="7">
    <w:name w:val="Normal Indent"/>
    <w:basedOn w:val="1"/>
    <w:next w:val="1"/>
    <w:qFormat/>
    <w:uiPriority w:val="0"/>
    <w:pPr>
      <w:spacing w:line="480" w:lineRule="exact"/>
      <w:ind w:firstLine="420"/>
    </w:pPr>
    <w:rPr>
      <w:rFonts w:eastAsia="Times New Roman"/>
      <w:sz w:val="28"/>
    </w:rPr>
  </w:style>
  <w:style w:type="paragraph" w:styleId="8">
    <w:name w:val="Body Text"/>
    <w:basedOn w:val="1"/>
    <w:qFormat/>
    <w:uiPriority w:val="1"/>
    <w:pPr>
      <w:ind w:left="151"/>
    </w:pPr>
    <w:rPr>
      <w:rFonts w:ascii="宋体" w:hAnsi="宋体" w:eastAsia="宋体" w:cs="宋体"/>
      <w:sz w:val="32"/>
      <w:szCs w:val="32"/>
      <w:lang w:val="zh-CN" w:eastAsia="zh-CN" w:bidi="zh-CN"/>
    </w:rPr>
  </w:style>
  <w:style w:type="paragraph" w:styleId="9">
    <w:name w:val="Body Text Indent"/>
    <w:basedOn w:val="1"/>
    <w:qFormat/>
    <w:uiPriority w:val="0"/>
    <w:pPr>
      <w:ind w:firstLine="640" w:firstLineChars="200"/>
    </w:pPr>
    <w:rPr>
      <w:rFonts w:eastAsia="方正仿宋_GBK"/>
      <w:kern w:val="0"/>
      <w:sz w:val="32"/>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Subtitle"/>
    <w:basedOn w:val="1"/>
    <w:next w:val="1"/>
    <w:qFormat/>
    <w:uiPriority w:val="11"/>
    <w:pPr>
      <w:ind w:firstLine="0" w:firstLineChars="0"/>
      <w:jc w:val="center"/>
    </w:pPr>
    <w:rPr>
      <w:rFonts w:eastAsia="宋体" w:cs="Times New Roman"/>
      <w:bCs/>
      <w:kern w:val="28"/>
      <w:sz w:val="21"/>
      <w:szCs w:val="32"/>
    </w:rPr>
  </w:style>
  <w:style w:type="paragraph" w:styleId="14">
    <w:name w:val="toc 2"/>
    <w:basedOn w:val="1"/>
    <w:next w:val="1"/>
    <w:qFormat/>
    <w:uiPriority w:val="0"/>
    <w:pPr>
      <w:ind w:left="420" w:leftChars="200"/>
    </w:pPr>
  </w:style>
  <w:style w:type="paragraph" w:styleId="15">
    <w:name w:val="Normal (Web)"/>
    <w:basedOn w:val="1"/>
    <w:qFormat/>
    <w:uiPriority w:val="0"/>
    <w:pPr>
      <w:widowControl/>
      <w:jc w:val="left"/>
    </w:pPr>
    <w:rPr>
      <w:rFonts w:ascii="宋体" w:hAnsi="宋体" w:cs="宋体"/>
      <w:color w:val="000000"/>
      <w:kern w:val="0"/>
      <w:sz w:val="24"/>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rPr>
  </w:style>
  <w:style w:type="character" w:styleId="20">
    <w:name w:val="page number"/>
    <w:basedOn w:val="18"/>
    <w:qFormat/>
    <w:uiPriority w:val="0"/>
  </w:style>
  <w:style w:type="paragraph" w:customStyle="1" w:styleId="2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22">
    <w:name w:val="List Paragraph"/>
    <w:basedOn w:val="1"/>
    <w:qFormat/>
    <w:uiPriority w:val="0"/>
    <w:pPr>
      <w:ind w:firstLine="420" w:firstLineChars="200"/>
    </w:pPr>
  </w:style>
  <w:style w:type="paragraph" w:customStyle="1" w:styleId="23">
    <w:name w:val="表格"/>
    <w:basedOn w:val="7"/>
    <w:next w:val="1"/>
    <w:qFormat/>
    <w:uiPriority w:val="0"/>
    <w:pPr>
      <w:adjustRightInd w:val="0"/>
      <w:jc w:val="center"/>
    </w:pPr>
    <w:rPr>
      <w:spacing w:val="10"/>
      <w:kern w:val="0"/>
      <w:sz w:val="20"/>
      <w:szCs w:val="20"/>
    </w:rPr>
  </w:style>
  <w:style w:type="paragraph" w:customStyle="1" w:styleId="24">
    <w:name w:val="大纲正文"/>
    <w:basedOn w:val="1"/>
    <w:qFormat/>
    <w:uiPriority w:val="0"/>
    <w:pPr>
      <w:adjustRightInd w:val="0"/>
      <w:snapToGrid w:val="0"/>
      <w:spacing w:line="360" w:lineRule="auto"/>
      <w:ind w:firstLine="200" w:firstLineChars="200"/>
    </w:pPr>
    <w:rPr>
      <w:rFonts w:eastAsia="仿宋_GB2312"/>
      <w:kern w:val="0"/>
      <w:sz w:val="28"/>
      <w:szCs w:val="20"/>
    </w:rPr>
  </w:style>
  <w:style w:type="paragraph" w:customStyle="1" w:styleId="25">
    <w:name w:val="L表内容"/>
    <w:basedOn w:val="1"/>
    <w:qFormat/>
    <w:uiPriority w:val="0"/>
    <w:pPr>
      <w:spacing w:line="0" w:lineRule="atLeast"/>
      <w:jc w:val="center"/>
    </w:pPr>
    <w:rPr>
      <w:szCs w:val="22"/>
    </w:rPr>
  </w:style>
  <w:style w:type="paragraph" w:customStyle="1" w:styleId="26">
    <w:name w:val="_Style 2"/>
    <w:basedOn w:val="1"/>
    <w:qFormat/>
    <w:uiPriority w:val="0"/>
    <w:pPr>
      <w:spacing w:line="360" w:lineRule="auto"/>
      <w:ind w:firstLine="420" w:firstLineChars="200"/>
    </w:pPr>
    <w:rPr>
      <w:szCs w:val="21"/>
    </w:rPr>
  </w:style>
  <w:style w:type="paragraph" w:customStyle="1" w:styleId="27">
    <w:name w:val="Table Paragraph"/>
    <w:basedOn w:val="1"/>
    <w:qFormat/>
    <w:uiPriority w:val="1"/>
    <w:pPr>
      <w:autoSpaceDE w:val="0"/>
      <w:autoSpaceDN w:val="0"/>
      <w:jc w:val="left"/>
    </w:pPr>
    <w:rPr>
      <w:rFonts w:ascii="方正仿宋_GBK" w:hAnsi="方正仿宋_GBK" w:eastAsia="方正仿宋_GBK" w:cs="方正仿宋_GBK"/>
      <w:kern w:val="0"/>
      <w:sz w:val="22"/>
      <w:szCs w:val="22"/>
      <w:lang w:eastAsia="en-US"/>
    </w:rPr>
  </w:style>
  <w:style w:type="paragraph" w:customStyle="1" w:styleId="28">
    <w:name w:val="表格 123"/>
    <w:basedOn w:val="1"/>
    <w:qFormat/>
    <w:uiPriority w:val="0"/>
    <w:pPr>
      <w:adjustRightInd w:val="0"/>
      <w:snapToGrid w:val="0"/>
      <w:spacing w:line="320" w:lineRule="exact"/>
      <w:ind w:firstLine="0" w:firstLineChars="0"/>
      <w:jc w:val="center"/>
    </w:pPr>
    <w:rPr>
      <w:sz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18218</Words>
  <Characters>19161</Characters>
  <Lines>0</Lines>
  <Paragraphs>0</Paragraphs>
  <TotalTime>0</TotalTime>
  <ScaleCrop>false</ScaleCrop>
  <LinksUpToDate>false</LinksUpToDate>
  <CharactersWithSpaces>19493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2025-10-20T06:57:00Z</dcterms:created>
  <dc:creator>153****3635</dc:creator>
  <cp:lastModifiedBy>153****3635</cp:lastModifiedBy>
  <dcterms:modified xsi:type="dcterms:W3CDTF">2025-11-11T03:06:50Z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576BDF1A19EF4F059502B3EAC9001F89_11</vt:lpwstr>
  </property>
  <property fmtid="{D5CDD505-2E9C-101B-9397-08002B2CF9AE}" pid="4" name="KSOTemplateDocerSaveRecord">
    <vt:lpwstr>eyJoZGlkIjoiNDJlZGQ3NmFiOTcyMGU4MmZlMjk5ZTNkYzc4Zjc3N2QiLCJ1c2VySWQiOiIxNDM5MzAxNTU3In0=</vt:lpwstr>
  </property>
</Properties>
</file>