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2AF3E">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0F54847">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9A17E29">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开州区温泉镇东河温泉供水站水源地</w:t>
      </w:r>
    </w:p>
    <w:p w14:paraId="1606AB56">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rPr>
      </w:pPr>
      <w:r>
        <w:rPr>
          <w:rFonts w:hint="eastAsia" w:asciiTheme="minorEastAsia" w:hAnsiTheme="minorEastAsia" w:eastAsiaTheme="minorEastAsia" w:cstheme="minorEastAsia"/>
          <w:b/>
          <w:bCs/>
          <w:sz w:val="52"/>
          <w:szCs w:val="52"/>
        </w:rPr>
        <w:t>突发环境事件应急预案</w:t>
      </w:r>
    </w:p>
    <w:p w14:paraId="231CDBD2">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44AB6C8">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671CE366">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38ADE974">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6B3C09F">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B8A2367">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 xml:space="preserve">                预案编号：</w:t>
      </w:r>
      <w:r>
        <w:rPr>
          <w:rFonts w:hint="eastAsia" w:asciiTheme="minorEastAsia" w:hAnsiTheme="minorEastAsia" w:eastAsiaTheme="minorEastAsia" w:cstheme="minorEastAsia"/>
          <w:sz w:val="28"/>
          <w:szCs w:val="28"/>
          <w:lang w:val="en-US" w:eastAsia="zh-CN"/>
        </w:rPr>
        <w:t xml:space="preserve">WQGSZYYSYD 2025-1 </w:t>
      </w:r>
    </w:p>
    <w:p w14:paraId="1A66CD0A">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版 本 号：</w:t>
      </w:r>
      <w:r>
        <w:rPr>
          <w:rFonts w:hint="eastAsia" w:asciiTheme="minorEastAsia" w:hAnsiTheme="minorEastAsia" w:eastAsiaTheme="minorEastAsia" w:cstheme="minorEastAsia"/>
          <w:sz w:val="28"/>
          <w:szCs w:val="28"/>
          <w:lang w:val="en-US" w:eastAsia="zh-CN"/>
        </w:rPr>
        <w:t>2025-1</w:t>
      </w:r>
      <w:r>
        <w:rPr>
          <w:rFonts w:hint="eastAsia" w:asciiTheme="minorEastAsia" w:hAnsiTheme="minorEastAsia" w:eastAsiaTheme="minorEastAsia" w:cstheme="minorEastAsia"/>
          <w:sz w:val="28"/>
          <w:szCs w:val="28"/>
        </w:rPr>
        <w:t xml:space="preserve">  </w:t>
      </w:r>
    </w:p>
    <w:p w14:paraId="57DC8102">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颁布日期：</w:t>
      </w:r>
      <w:r>
        <w:rPr>
          <w:rFonts w:hint="eastAsia" w:asciiTheme="minorEastAsia" w:hAnsiTheme="minorEastAsia" w:eastAsiaTheme="minorEastAsia" w:cstheme="minorEastAsia"/>
          <w:sz w:val="28"/>
          <w:szCs w:val="28"/>
          <w:lang w:val="en-US" w:eastAsia="zh-CN"/>
        </w:rPr>
        <w:t xml:space="preserve">2025年10月  </w:t>
      </w:r>
      <w:r>
        <w:rPr>
          <w:rFonts w:hint="eastAsia" w:asciiTheme="minorEastAsia" w:hAnsiTheme="minorEastAsia" w:eastAsiaTheme="minorEastAsia" w:cstheme="minorEastAsia"/>
          <w:sz w:val="28"/>
          <w:szCs w:val="28"/>
        </w:rPr>
        <w:t xml:space="preserve">  </w:t>
      </w:r>
    </w:p>
    <w:p w14:paraId="320A05B7">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F353913">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181C76F">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4E805E2F">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eastAsia="zh-CN"/>
        </w:rPr>
        <w:t>重庆市开州区</w:t>
      </w:r>
      <w:r>
        <w:rPr>
          <w:rFonts w:hint="eastAsia" w:asciiTheme="minorEastAsia" w:hAnsiTheme="minorEastAsia" w:eastAsiaTheme="minorEastAsia" w:cstheme="minorEastAsia"/>
          <w:b/>
          <w:bCs/>
          <w:sz w:val="32"/>
          <w:szCs w:val="32"/>
          <w:lang w:val="en-US" w:eastAsia="zh-CN"/>
        </w:rPr>
        <w:t>温泉镇人民政府</w:t>
      </w:r>
    </w:p>
    <w:p w14:paraId="7120B30E">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2025</w:t>
      </w:r>
      <w:r>
        <w:rPr>
          <w:rFonts w:hint="eastAsia" w:asciiTheme="minorEastAsia" w:hAnsiTheme="minorEastAsia" w:eastAsiaTheme="minorEastAsia" w:cstheme="minorEastAsia"/>
          <w:b/>
          <w:bCs/>
          <w:sz w:val="32"/>
          <w:szCs w:val="32"/>
        </w:rPr>
        <w:t>年</w:t>
      </w:r>
      <w:r>
        <w:rPr>
          <w:rFonts w:hint="eastAsia" w:asciiTheme="minorEastAsia" w:hAnsiTheme="minorEastAsia" w:eastAsiaTheme="minorEastAsia" w:cstheme="minorEastAsia"/>
          <w:b/>
          <w:bCs/>
          <w:sz w:val="32"/>
          <w:szCs w:val="32"/>
          <w:lang w:val="en-US" w:eastAsia="zh-CN"/>
        </w:rPr>
        <w:t>10</w:t>
      </w:r>
      <w:r>
        <w:rPr>
          <w:rFonts w:hint="eastAsia" w:asciiTheme="minorEastAsia" w:hAnsiTheme="minorEastAsia" w:eastAsiaTheme="minorEastAsia" w:cstheme="minorEastAsia"/>
          <w:b/>
          <w:bCs/>
          <w:sz w:val="32"/>
          <w:szCs w:val="32"/>
        </w:rPr>
        <w:t>月</w:t>
      </w:r>
    </w:p>
    <w:p w14:paraId="6D0651AF">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14:paraId="7DD5BFA7">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sdt>
      <w:sdtPr>
        <w:rPr>
          <w:rFonts w:ascii="宋体" w:hAnsi="宋体" w:eastAsia="宋体" w:cs="Times New Roman"/>
          <w:kern w:val="2"/>
          <w:sz w:val="21"/>
          <w:szCs w:val="21"/>
          <w:lang w:val="en-US" w:eastAsia="zh-CN" w:bidi="ar-SA"/>
        </w:rPr>
        <w:id w:val="147471964"/>
        <w15:color w:val="DBDBDB"/>
        <w:docPartObj>
          <w:docPartGallery w:val="Table of Contents"/>
          <w:docPartUnique/>
        </w:docPartObj>
      </w:sdtPr>
      <w:sdtEndPr>
        <w:rPr>
          <w:rFonts w:hint="eastAsia" w:asciiTheme="minorEastAsia" w:hAnsiTheme="minorEastAsia" w:eastAsiaTheme="minorEastAsia" w:cstheme="minorEastAsia"/>
          <w:b/>
          <w:bCs/>
          <w:kern w:val="2"/>
          <w:sz w:val="32"/>
          <w:szCs w:val="32"/>
          <w:lang w:val="zh-CN" w:eastAsia="zh-CN" w:bidi="zh-CN"/>
        </w:rPr>
      </w:sdtEndPr>
      <w:sdtContent>
        <w:p w14:paraId="466BD75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06609D80">
          <w:pPr>
            <w:pStyle w:val="10"/>
            <w:tabs>
              <w:tab w:val="right" w:leader="dot" w:pos="9026"/>
            </w:tabs>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TOC \o "1-2" \h \u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_Toc12833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1总则</w:t>
          </w:r>
          <w:r>
            <w:tab/>
          </w:r>
          <w:r>
            <w:fldChar w:fldCharType="begin"/>
          </w:r>
          <w:r>
            <w:instrText xml:space="preserve"> PAGEREF _Toc12833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474E9928">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_Toc6900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1.1</w:t>
          </w:r>
          <w:r>
            <w:rPr>
              <w:rFonts w:hint="eastAsia" w:ascii="宋体" w:hAnsi="宋体" w:cs="宋体"/>
              <w:bCs/>
              <w:szCs w:val="28"/>
              <w:lang w:val="en-US" w:eastAsia="zh-CN"/>
            </w:rPr>
            <w:t xml:space="preserve"> </w:t>
          </w:r>
          <w:r>
            <w:rPr>
              <w:rFonts w:hint="eastAsia" w:ascii="宋体" w:hAnsi="宋体" w:eastAsia="宋体" w:cs="宋体"/>
              <w:bCs/>
              <w:szCs w:val="28"/>
            </w:rPr>
            <w:t>编制目的</w:t>
          </w:r>
          <w:r>
            <w:tab/>
          </w:r>
          <w:r>
            <w:fldChar w:fldCharType="begin"/>
          </w:r>
          <w:r>
            <w:instrText xml:space="preserve"> PAGEREF _Toc6900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3B794270">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_Toc20628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1.2</w:t>
          </w:r>
          <w:r>
            <w:rPr>
              <w:rFonts w:hint="eastAsia" w:ascii="宋体" w:hAnsi="宋体" w:eastAsia="宋体" w:cs="宋体"/>
              <w:bCs/>
              <w:szCs w:val="28"/>
              <w:lang w:val="en-US" w:eastAsia="zh-CN"/>
            </w:rPr>
            <w:t xml:space="preserve"> </w:t>
          </w:r>
          <w:r>
            <w:rPr>
              <w:rFonts w:hint="eastAsia" w:ascii="宋体" w:hAnsi="宋体" w:eastAsia="宋体" w:cs="宋体"/>
              <w:bCs/>
              <w:szCs w:val="28"/>
            </w:rPr>
            <w:t>适用范围</w:t>
          </w:r>
          <w:r>
            <w:tab/>
          </w:r>
          <w:r>
            <w:fldChar w:fldCharType="begin"/>
          </w:r>
          <w:r>
            <w:instrText xml:space="preserve"> PAGEREF _Toc20628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34A4096C">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_Toc12248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1.3</w:t>
          </w:r>
          <w:r>
            <w:rPr>
              <w:rFonts w:hint="eastAsia" w:ascii="宋体" w:hAnsi="宋体" w:eastAsia="宋体" w:cs="宋体"/>
              <w:bCs/>
              <w:szCs w:val="28"/>
              <w:lang w:val="en-US" w:eastAsia="zh-CN"/>
            </w:rPr>
            <w:t xml:space="preserve"> </w:t>
          </w:r>
          <w:r>
            <w:rPr>
              <w:rFonts w:hint="eastAsia" w:ascii="宋体" w:hAnsi="宋体" w:eastAsia="宋体" w:cs="宋体"/>
              <w:bCs/>
              <w:szCs w:val="28"/>
            </w:rPr>
            <w:t>编制依据</w:t>
          </w:r>
          <w:r>
            <w:tab/>
          </w:r>
          <w:r>
            <w:fldChar w:fldCharType="begin"/>
          </w:r>
          <w:r>
            <w:instrText xml:space="preserve"> PAGEREF _Toc12248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0F8328A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_Toc24657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w:t>
          </w:r>
          <w:r>
            <w:rPr>
              <w:rFonts w:hint="eastAsia" w:ascii="宋体" w:hAnsi="宋体" w:eastAsia="宋体" w:cs="宋体"/>
              <w:bCs/>
              <w:szCs w:val="28"/>
              <w:lang w:val="en-US" w:eastAsia="zh-CN"/>
            </w:rPr>
            <w:t xml:space="preserve">4 </w:t>
          </w:r>
          <w:r>
            <w:rPr>
              <w:rFonts w:hint="eastAsia" w:ascii="宋体" w:hAnsi="宋体" w:eastAsia="宋体" w:cs="宋体"/>
              <w:bCs/>
              <w:szCs w:val="28"/>
            </w:rPr>
            <w:t>工作原则</w:t>
          </w:r>
          <w:r>
            <w:tab/>
          </w:r>
          <w:r>
            <w:fldChar w:fldCharType="begin"/>
          </w:r>
          <w:r>
            <w:instrText xml:space="preserve"> PAGEREF _Toc24657 \h </w:instrText>
          </w:r>
          <w:r>
            <w:fldChar w:fldCharType="separate"/>
          </w:r>
          <w:r>
            <w:t>3</w:t>
          </w:r>
          <w:r>
            <w:fldChar w:fldCharType="end"/>
          </w:r>
          <w:r>
            <w:rPr>
              <w:rFonts w:hint="eastAsia" w:asciiTheme="minorEastAsia" w:hAnsiTheme="minorEastAsia" w:eastAsiaTheme="minorEastAsia" w:cstheme="minorEastAsia"/>
              <w:bCs/>
              <w:szCs w:val="32"/>
            </w:rPr>
            <w:fldChar w:fldCharType="end"/>
          </w:r>
        </w:p>
        <w:p w14:paraId="217C19ED">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_Toc14346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zh-CN"/>
            </w:rPr>
            <w:t>1.</w:t>
          </w:r>
          <w:r>
            <w:rPr>
              <w:rFonts w:hint="eastAsia" w:ascii="宋体" w:hAnsi="宋体" w:eastAsia="宋体" w:cs="宋体"/>
              <w:bCs/>
              <w:szCs w:val="28"/>
              <w:lang w:val="en-US" w:eastAsia="zh-CN"/>
            </w:rPr>
            <w:t xml:space="preserve">5 </w:t>
          </w:r>
          <w:r>
            <w:rPr>
              <w:rFonts w:hint="eastAsia" w:ascii="宋体" w:hAnsi="宋体" w:eastAsia="宋体" w:cs="宋体"/>
              <w:bCs/>
              <w:szCs w:val="28"/>
              <w:lang w:val="zh-CN"/>
            </w:rPr>
            <w:t>应急预案体系</w:t>
          </w:r>
          <w:r>
            <w:tab/>
          </w:r>
          <w:r>
            <w:fldChar w:fldCharType="begin"/>
          </w:r>
          <w:r>
            <w:instrText xml:space="preserve"> PAGEREF _Toc14346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11274FAA">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_Toc14755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1.6 事件分级</w:t>
          </w:r>
          <w:r>
            <w:tab/>
          </w:r>
          <w:r>
            <w:fldChar w:fldCharType="begin"/>
          </w:r>
          <w:r>
            <w:instrText xml:space="preserve"> PAGEREF _Toc14755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3CDB4748">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_Toc3575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2</w:t>
          </w:r>
          <w:r>
            <w:rPr>
              <w:rFonts w:hint="eastAsia" w:ascii="宋体" w:hAnsi="宋体" w:cs="宋体"/>
              <w:bCs/>
              <w:szCs w:val="32"/>
              <w:lang w:val="en-US" w:eastAsia="zh-CN"/>
            </w:rPr>
            <w:t xml:space="preserve"> </w:t>
          </w:r>
          <w:r>
            <w:rPr>
              <w:rFonts w:hint="eastAsia" w:cs="宋体"/>
              <w:bCs/>
              <w:szCs w:val="32"/>
              <w:lang w:val="en-US" w:eastAsia="zh-CN"/>
            </w:rPr>
            <w:t>开州区温泉镇东河温泉供水站水源地</w:t>
          </w:r>
          <w:r>
            <w:rPr>
              <w:rFonts w:hint="eastAsia" w:ascii="宋体" w:hAnsi="宋体" w:eastAsia="宋体" w:cs="宋体"/>
              <w:bCs/>
              <w:szCs w:val="32"/>
              <w:lang w:val="en-US" w:eastAsia="zh-CN"/>
            </w:rPr>
            <w:t>基础信息</w:t>
          </w:r>
          <w:r>
            <w:tab/>
          </w:r>
          <w:r>
            <w:fldChar w:fldCharType="begin"/>
          </w:r>
          <w:r>
            <w:instrText xml:space="preserve"> PAGEREF _Toc3575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418B2414">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_Toc27473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 xml:space="preserve">2.1 </w:t>
          </w:r>
          <w:r>
            <w:rPr>
              <w:rFonts w:hint="eastAsia" w:ascii="宋体" w:hAnsi="宋体" w:cs="宋体"/>
              <w:bCs/>
              <w:szCs w:val="28"/>
              <w:lang w:val="en-US" w:eastAsia="zh-CN"/>
            </w:rPr>
            <w:t>开州区温泉镇东河温泉供水站水源地</w:t>
          </w:r>
          <w:r>
            <w:rPr>
              <w:rFonts w:hint="eastAsia" w:ascii="宋体" w:hAnsi="宋体" w:eastAsia="宋体" w:cs="宋体"/>
              <w:bCs/>
              <w:szCs w:val="28"/>
              <w:lang w:val="en-US" w:eastAsia="zh-CN"/>
            </w:rPr>
            <w:t>基础信息</w:t>
          </w:r>
          <w:r>
            <w:tab/>
          </w:r>
          <w:r>
            <w:fldChar w:fldCharType="begin"/>
          </w:r>
          <w:r>
            <w:instrText xml:space="preserve"> PAGEREF _Toc27473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733B41AA">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_Toc21294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2.2 饮用水源地保护区划分情况简介</w:t>
          </w:r>
          <w:r>
            <w:tab/>
          </w:r>
          <w:r>
            <w:fldChar w:fldCharType="begin"/>
          </w:r>
          <w:r>
            <w:instrText xml:space="preserve"> PAGEREF _Toc21294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64506F43">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_Toc12038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2.3 饮用水水源地规范化建设现状调查</w:t>
          </w:r>
          <w:r>
            <w:tab/>
          </w:r>
          <w:r>
            <w:fldChar w:fldCharType="begin"/>
          </w:r>
          <w:r>
            <w:instrText xml:space="preserve"> PAGEREF _Toc12038 \h </w:instrText>
          </w:r>
          <w:r>
            <w:fldChar w:fldCharType="separate"/>
          </w:r>
          <w:r>
            <w:t>2</w:t>
          </w:r>
          <w:r>
            <w:fldChar w:fldCharType="end"/>
          </w:r>
          <w:r>
            <w:rPr>
              <w:rFonts w:hint="eastAsia" w:asciiTheme="minorEastAsia" w:hAnsiTheme="minorEastAsia" w:eastAsiaTheme="minorEastAsia" w:cstheme="minorEastAsia"/>
              <w:bCs/>
              <w:szCs w:val="32"/>
            </w:rPr>
            <w:fldChar w:fldCharType="end"/>
          </w:r>
        </w:p>
        <w:p w14:paraId="4D3B5509">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_Toc26530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2.4 水源地环境风险</w:t>
          </w:r>
          <w:r>
            <w:tab/>
          </w:r>
          <w:r>
            <w:fldChar w:fldCharType="begin"/>
          </w:r>
          <w:r>
            <w:instrText xml:space="preserve"> PAGEREF _Toc26530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4E162FE7">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_Toc1557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 应急组织机构体系及职责</w:t>
          </w:r>
          <w:r>
            <w:tab/>
          </w:r>
          <w:r>
            <w:fldChar w:fldCharType="begin"/>
          </w:r>
          <w:r>
            <w:instrText xml:space="preserve"> PAGEREF _Toc1557 \h </w:instrText>
          </w:r>
          <w:r>
            <w:fldChar w:fldCharType="separate"/>
          </w:r>
          <w:r>
            <w:t>10</w:t>
          </w:r>
          <w:r>
            <w:fldChar w:fldCharType="end"/>
          </w:r>
          <w:r>
            <w:rPr>
              <w:rFonts w:hint="eastAsia" w:asciiTheme="minorEastAsia" w:hAnsiTheme="minorEastAsia" w:eastAsiaTheme="minorEastAsia" w:cstheme="minorEastAsia"/>
              <w:bCs/>
              <w:szCs w:val="32"/>
            </w:rPr>
            <w:fldChar w:fldCharType="end"/>
          </w:r>
        </w:p>
        <w:p w14:paraId="3E05A935">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_Toc3034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3.1 应急组织机构</w:t>
          </w:r>
          <w:r>
            <w:tab/>
          </w:r>
          <w:r>
            <w:fldChar w:fldCharType="begin"/>
          </w:r>
          <w:r>
            <w:instrText xml:space="preserve"> PAGEREF _Toc3034 \h </w:instrText>
          </w:r>
          <w:r>
            <w:fldChar w:fldCharType="separate"/>
          </w:r>
          <w:r>
            <w:t>10</w:t>
          </w:r>
          <w:r>
            <w:fldChar w:fldCharType="end"/>
          </w:r>
          <w:r>
            <w:rPr>
              <w:rFonts w:hint="eastAsia" w:asciiTheme="minorEastAsia" w:hAnsiTheme="minorEastAsia" w:eastAsiaTheme="minorEastAsia" w:cstheme="minorEastAsia"/>
              <w:bCs/>
              <w:szCs w:val="32"/>
            </w:rPr>
            <w:fldChar w:fldCharType="end"/>
          </w:r>
        </w:p>
        <w:p w14:paraId="5AE2C220">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_Toc26975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3.2 应急工作机构及职责</w:t>
          </w:r>
          <w:r>
            <w:tab/>
          </w:r>
          <w:r>
            <w:fldChar w:fldCharType="begin"/>
          </w:r>
          <w:r>
            <w:instrText xml:space="preserve"> PAGEREF _Toc26975 \h </w:instrText>
          </w:r>
          <w:r>
            <w:fldChar w:fldCharType="separate"/>
          </w:r>
          <w:r>
            <w:t>10</w:t>
          </w:r>
          <w:r>
            <w:fldChar w:fldCharType="end"/>
          </w:r>
          <w:r>
            <w:rPr>
              <w:rFonts w:hint="eastAsia" w:asciiTheme="minorEastAsia" w:hAnsiTheme="minorEastAsia" w:eastAsiaTheme="minorEastAsia" w:cstheme="minorEastAsia"/>
              <w:bCs/>
              <w:szCs w:val="32"/>
            </w:rPr>
            <w:fldChar w:fldCharType="end"/>
          </w:r>
        </w:p>
        <w:p w14:paraId="30CDEBB3">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_Toc3526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4</w:t>
          </w:r>
          <w:r>
            <w:rPr>
              <w:rFonts w:hint="eastAsia" w:ascii="宋体" w:hAnsi="宋体" w:cs="宋体"/>
              <w:bCs/>
              <w:szCs w:val="32"/>
              <w:lang w:val="en-US" w:eastAsia="zh-CN"/>
            </w:rPr>
            <w:t xml:space="preserve"> </w:t>
          </w:r>
          <w:r>
            <w:rPr>
              <w:rFonts w:hint="eastAsia" w:ascii="宋体" w:hAnsi="宋体" w:eastAsia="宋体" w:cs="宋体"/>
              <w:bCs/>
              <w:szCs w:val="32"/>
              <w:lang w:val="en-US" w:eastAsia="zh-CN"/>
            </w:rPr>
            <w:t>预防和预警</w:t>
          </w:r>
          <w:r>
            <w:tab/>
          </w:r>
          <w:r>
            <w:fldChar w:fldCharType="begin"/>
          </w:r>
          <w:r>
            <w:instrText xml:space="preserve"> PAGEREF _Toc3526 \h </w:instrText>
          </w:r>
          <w:r>
            <w:fldChar w:fldCharType="separate"/>
          </w:r>
          <w:r>
            <w:t>14</w:t>
          </w:r>
          <w:r>
            <w:fldChar w:fldCharType="end"/>
          </w:r>
          <w:r>
            <w:rPr>
              <w:rFonts w:hint="eastAsia" w:asciiTheme="minorEastAsia" w:hAnsiTheme="minorEastAsia" w:eastAsiaTheme="minorEastAsia" w:cstheme="minorEastAsia"/>
              <w:bCs/>
              <w:szCs w:val="32"/>
            </w:rPr>
            <w:fldChar w:fldCharType="end"/>
          </w:r>
        </w:p>
        <w:p w14:paraId="42786365">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_Toc3424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4.1 预警</w:t>
          </w:r>
          <w:r>
            <w:tab/>
          </w:r>
          <w:r>
            <w:fldChar w:fldCharType="begin"/>
          </w:r>
          <w:r>
            <w:instrText xml:space="preserve"> PAGEREF _Toc3424 \h </w:instrText>
          </w:r>
          <w:r>
            <w:fldChar w:fldCharType="separate"/>
          </w:r>
          <w:r>
            <w:t>15</w:t>
          </w:r>
          <w:r>
            <w:fldChar w:fldCharType="end"/>
          </w:r>
          <w:r>
            <w:rPr>
              <w:rFonts w:hint="eastAsia" w:asciiTheme="minorEastAsia" w:hAnsiTheme="minorEastAsia" w:eastAsiaTheme="minorEastAsia" w:cstheme="minorEastAsia"/>
              <w:bCs/>
              <w:szCs w:val="32"/>
            </w:rPr>
            <w:fldChar w:fldCharType="end"/>
          </w:r>
        </w:p>
        <w:p w14:paraId="1EB4932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_Toc7442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4.2 信息报告</w:t>
          </w:r>
          <w:r>
            <w:tab/>
          </w:r>
          <w:r>
            <w:fldChar w:fldCharType="begin"/>
          </w:r>
          <w:r>
            <w:instrText xml:space="preserve"> PAGEREF _Toc7442 \h </w:instrText>
          </w:r>
          <w:r>
            <w:fldChar w:fldCharType="separate"/>
          </w:r>
          <w:r>
            <w:t>17</w:t>
          </w:r>
          <w:r>
            <w:fldChar w:fldCharType="end"/>
          </w:r>
          <w:r>
            <w:rPr>
              <w:rFonts w:hint="eastAsia" w:asciiTheme="minorEastAsia" w:hAnsiTheme="minorEastAsia" w:eastAsiaTheme="minorEastAsia" w:cstheme="minorEastAsia"/>
              <w:bCs/>
              <w:szCs w:val="32"/>
            </w:rPr>
            <w:fldChar w:fldCharType="end"/>
          </w:r>
        </w:p>
        <w:p w14:paraId="68AB4BB0">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_Toc945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5 应急响应</w:t>
          </w:r>
          <w:r>
            <w:tab/>
          </w:r>
          <w:r>
            <w:fldChar w:fldCharType="begin"/>
          </w:r>
          <w:r>
            <w:instrText xml:space="preserve"> PAGEREF _Toc945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46ACBEF3">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_Toc2854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5.1 响应分级</w:t>
          </w:r>
          <w:r>
            <w:tab/>
          </w:r>
          <w:r>
            <w:fldChar w:fldCharType="begin"/>
          </w:r>
          <w:r>
            <w:instrText xml:space="preserve"> PAGEREF _Toc2854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6A7C740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_Toc3452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5.2 先期处置</w:t>
          </w:r>
          <w:r>
            <w:tab/>
          </w:r>
          <w:r>
            <w:fldChar w:fldCharType="begin"/>
          </w:r>
          <w:r>
            <w:instrText xml:space="preserve"> PAGEREF _Toc3452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0517A928">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_Toc7238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5.3 应急处置程序</w:t>
          </w:r>
          <w:r>
            <w:tab/>
          </w:r>
          <w:r>
            <w:fldChar w:fldCharType="begin"/>
          </w:r>
          <w:r>
            <w:instrText xml:space="preserve"> PAGEREF _Toc7238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007D4ADA">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_Toc20153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5.4 响应措施</w:t>
          </w:r>
          <w:r>
            <w:tab/>
          </w:r>
          <w:r>
            <w:fldChar w:fldCharType="begin"/>
          </w:r>
          <w:r>
            <w:instrText xml:space="preserve"> PAGEREF _Toc20153 \h </w:instrText>
          </w:r>
          <w:r>
            <w:fldChar w:fldCharType="separate"/>
          </w:r>
          <w:r>
            <w:t>21</w:t>
          </w:r>
          <w:r>
            <w:fldChar w:fldCharType="end"/>
          </w:r>
          <w:r>
            <w:rPr>
              <w:rFonts w:hint="eastAsia" w:asciiTheme="minorEastAsia" w:hAnsiTheme="minorEastAsia" w:eastAsiaTheme="minorEastAsia" w:cstheme="minorEastAsia"/>
              <w:bCs/>
              <w:szCs w:val="32"/>
            </w:rPr>
            <w:fldChar w:fldCharType="end"/>
          </w:r>
        </w:p>
        <w:p w14:paraId="09F1EE44">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_Toc31324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5.5 响应终止</w:t>
          </w:r>
          <w:r>
            <w:tab/>
          </w:r>
          <w:r>
            <w:fldChar w:fldCharType="begin"/>
          </w:r>
          <w:r>
            <w:instrText xml:space="preserve"> PAGEREF _Toc31324 \h </w:instrText>
          </w:r>
          <w:r>
            <w:fldChar w:fldCharType="separate"/>
          </w:r>
          <w:r>
            <w:t>24</w:t>
          </w:r>
          <w:r>
            <w:fldChar w:fldCharType="end"/>
          </w:r>
          <w:r>
            <w:rPr>
              <w:rFonts w:hint="eastAsia" w:asciiTheme="minorEastAsia" w:hAnsiTheme="minorEastAsia" w:eastAsiaTheme="minorEastAsia" w:cstheme="minorEastAsia"/>
              <w:bCs/>
              <w:szCs w:val="32"/>
            </w:rPr>
            <w:fldChar w:fldCharType="end"/>
          </w:r>
        </w:p>
        <w:p w14:paraId="2D2743DA">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_Toc20526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6 善后工作</w:t>
          </w:r>
          <w:r>
            <w:tab/>
          </w:r>
          <w:r>
            <w:fldChar w:fldCharType="begin"/>
          </w:r>
          <w:r>
            <w:instrText xml:space="preserve"> PAGEREF _Toc20526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18218E34">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_Toc8057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6.1 损害评估</w:t>
          </w:r>
          <w:r>
            <w:tab/>
          </w:r>
          <w:r>
            <w:fldChar w:fldCharType="begin"/>
          </w:r>
          <w:r>
            <w:instrText xml:space="preserve"> PAGEREF _Toc8057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3E0628F2">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_Toc28290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6.2 保险理赔</w:t>
          </w:r>
          <w:r>
            <w:tab/>
          </w:r>
          <w:r>
            <w:fldChar w:fldCharType="begin"/>
          </w:r>
          <w:r>
            <w:instrText xml:space="preserve"> PAGEREF _Toc28290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4552DFA0">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_Toc32026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6.3 事件调查</w:t>
          </w:r>
          <w:r>
            <w:tab/>
          </w:r>
          <w:r>
            <w:fldChar w:fldCharType="begin"/>
          </w:r>
          <w:r>
            <w:instrText xml:space="preserve"> PAGEREF _Toc32026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58D7A6E9">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_Toc1769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6.4 善后处置</w:t>
          </w:r>
          <w:r>
            <w:tab/>
          </w:r>
          <w:r>
            <w:fldChar w:fldCharType="begin"/>
          </w:r>
          <w:r>
            <w:instrText xml:space="preserve"> PAGEREF _Toc1769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6306F7AC">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_Toc3747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6.5 情况通报</w:t>
          </w:r>
          <w:r>
            <w:tab/>
          </w:r>
          <w:r>
            <w:fldChar w:fldCharType="begin"/>
          </w:r>
          <w:r>
            <w:instrText xml:space="preserve"> PAGEREF _Toc3747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60423DA9">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_Toc30260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7 应急保障</w:t>
          </w:r>
          <w:r>
            <w:tab/>
          </w:r>
          <w:r>
            <w:fldChar w:fldCharType="begin"/>
          </w:r>
          <w:r>
            <w:instrText xml:space="preserve"> PAGEREF _Toc30260 \h </w:instrText>
          </w:r>
          <w:r>
            <w:fldChar w:fldCharType="separate"/>
          </w:r>
          <w:r>
            <w:t>26</w:t>
          </w:r>
          <w:r>
            <w:fldChar w:fldCharType="end"/>
          </w:r>
          <w:r>
            <w:rPr>
              <w:rFonts w:hint="eastAsia" w:asciiTheme="minorEastAsia" w:hAnsiTheme="minorEastAsia" w:eastAsiaTheme="minorEastAsia" w:cstheme="minorEastAsia"/>
              <w:bCs/>
              <w:szCs w:val="32"/>
            </w:rPr>
            <w:fldChar w:fldCharType="end"/>
          </w:r>
        </w:p>
        <w:p w14:paraId="495F161F">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_Toc14518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7.1 队伍保障</w:t>
          </w:r>
          <w:r>
            <w:tab/>
          </w:r>
          <w:r>
            <w:fldChar w:fldCharType="begin"/>
          </w:r>
          <w:r>
            <w:instrText xml:space="preserve"> PAGEREF _Toc14518 \h </w:instrText>
          </w:r>
          <w:r>
            <w:fldChar w:fldCharType="separate"/>
          </w:r>
          <w:r>
            <w:t>26</w:t>
          </w:r>
          <w:r>
            <w:fldChar w:fldCharType="end"/>
          </w:r>
          <w:r>
            <w:rPr>
              <w:rFonts w:hint="eastAsia" w:asciiTheme="minorEastAsia" w:hAnsiTheme="minorEastAsia" w:eastAsiaTheme="minorEastAsia" w:cstheme="minorEastAsia"/>
              <w:bCs/>
              <w:szCs w:val="32"/>
            </w:rPr>
            <w:fldChar w:fldCharType="end"/>
          </w:r>
        </w:p>
        <w:p w14:paraId="447E609A">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_Toc25922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7.2 物资、装备与资金保障</w:t>
          </w:r>
          <w:r>
            <w:tab/>
          </w:r>
          <w:r>
            <w:fldChar w:fldCharType="begin"/>
          </w:r>
          <w:r>
            <w:instrText xml:space="preserve"> PAGEREF _Toc25922 \h </w:instrText>
          </w:r>
          <w:r>
            <w:fldChar w:fldCharType="separate"/>
          </w:r>
          <w:r>
            <w:t>26</w:t>
          </w:r>
          <w:r>
            <w:fldChar w:fldCharType="end"/>
          </w:r>
          <w:r>
            <w:rPr>
              <w:rFonts w:hint="eastAsia" w:asciiTheme="minorEastAsia" w:hAnsiTheme="minorEastAsia" w:eastAsiaTheme="minorEastAsia" w:cstheme="minorEastAsia"/>
              <w:bCs/>
              <w:szCs w:val="32"/>
            </w:rPr>
            <w:fldChar w:fldCharType="end"/>
          </w:r>
        </w:p>
        <w:p w14:paraId="58C3ABB2">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_Toc9300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7.3 通信、交通与运输保障</w:t>
          </w:r>
          <w:r>
            <w:tab/>
          </w:r>
          <w:r>
            <w:fldChar w:fldCharType="begin"/>
          </w:r>
          <w:r>
            <w:instrText xml:space="preserve"> PAGEREF _Toc9300 \h </w:instrText>
          </w:r>
          <w:r>
            <w:fldChar w:fldCharType="separate"/>
          </w:r>
          <w:r>
            <w:t>26</w:t>
          </w:r>
          <w:r>
            <w:fldChar w:fldCharType="end"/>
          </w:r>
          <w:r>
            <w:rPr>
              <w:rFonts w:hint="eastAsia" w:asciiTheme="minorEastAsia" w:hAnsiTheme="minorEastAsia" w:eastAsiaTheme="minorEastAsia" w:cstheme="minorEastAsia"/>
              <w:bCs/>
              <w:szCs w:val="32"/>
            </w:rPr>
            <w:fldChar w:fldCharType="end"/>
          </w:r>
        </w:p>
        <w:p w14:paraId="12BB97CA">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_Toc30252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7.4 技术保障</w:t>
          </w:r>
          <w:r>
            <w:tab/>
          </w:r>
          <w:r>
            <w:fldChar w:fldCharType="begin"/>
          </w:r>
          <w:r>
            <w:instrText xml:space="preserve"> PAGEREF _Toc30252 \h </w:instrText>
          </w:r>
          <w:r>
            <w:fldChar w:fldCharType="separate"/>
          </w:r>
          <w:r>
            <w:t>27</w:t>
          </w:r>
          <w:r>
            <w:fldChar w:fldCharType="end"/>
          </w:r>
          <w:r>
            <w:rPr>
              <w:rFonts w:hint="eastAsia" w:asciiTheme="minorEastAsia" w:hAnsiTheme="minorEastAsia" w:eastAsiaTheme="minorEastAsia" w:cstheme="minorEastAsia"/>
              <w:bCs/>
              <w:szCs w:val="32"/>
            </w:rPr>
            <w:fldChar w:fldCharType="end"/>
          </w:r>
        </w:p>
        <w:p w14:paraId="701D6E44">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_Toc31718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8 监督管理</w:t>
          </w:r>
          <w:r>
            <w:tab/>
          </w:r>
          <w:r>
            <w:fldChar w:fldCharType="begin"/>
          </w:r>
          <w:r>
            <w:instrText xml:space="preserve"> PAGEREF _Toc31718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6316F1E3">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_Toc16292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8.1 应急预案演练</w:t>
          </w:r>
          <w:r>
            <w:tab/>
          </w:r>
          <w:r>
            <w:fldChar w:fldCharType="begin"/>
          </w:r>
          <w:r>
            <w:instrText xml:space="preserve"> PAGEREF _Toc16292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5E758BE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_Toc24987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8.2 宣传</w:t>
          </w:r>
          <w:r>
            <w:tab/>
          </w:r>
          <w:r>
            <w:fldChar w:fldCharType="begin"/>
          </w:r>
          <w:r>
            <w:instrText xml:space="preserve"> PAGEREF _Toc24987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6B1BA3D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_Toc12370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8.3 培训</w:t>
          </w:r>
          <w:r>
            <w:tab/>
          </w:r>
          <w:r>
            <w:fldChar w:fldCharType="begin"/>
          </w:r>
          <w:r>
            <w:instrText xml:space="preserve"> PAGEREF _Toc12370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788535C4">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_Toc29128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8.4 预案管理</w:t>
          </w:r>
          <w:r>
            <w:tab/>
          </w:r>
          <w:r>
            <w:fldChar w:fldCharType="begin"/>
          </w:r>
          <w:r>
            <w:instrText xml:space="preserve"> PAGEREF _Toc29128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5B3058DF">
          <w:pPr>
            <w:pStyle w:val="10"/>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_Toc581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9 附件和附图</w:t>
          </w:r>
          <w:r>
            <w:tab/>
          </w:r>
          <w:r>
            <w:fldChar w:fldCharType="begin"/>
          </w:r>
          <w:r>
            <w:instrText xml:space="preserve"> PAGEREF _Toc581 \h </w:instrText>
          </w:r>
          <w:r>
            <w:fldChar w:fldCharType="separate"/>
          </w:r>
          <w:r>
            <w:t>30</w:t>
          </w:r>
          <w:r>
            <w:fldChar w:fldCharType="end"/>
          </w:r>
          <w:r>
            <w:rPr>
              <w:rFonts w:hint="eastAsia" w:asciiTheme="minorEastAsia" w:hAnsiTheme="minorEastAsia" w:eastAsiaTheme="minorEastAsia" w:cstheme="minorEastAsia"/>
              <w:bCs/>
              <w:szCs w:val="32"/>
            </w:rPr>
            <w:fldChar w:fldCharType="end"/>
          </w:r>
        </w:p>
        <w:p w14:paraId="5C1018D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_Toc31014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rPr>
            <w:t>附件1：</w:t>
          </w:r>
          <w:r>
            <w:rPr>
              <w:rFonts w:hint="eastAsia" w:ascii="宋体" w:hAnsi="宋体" w:eastAsia="宋体" w:cs="宋体"/>
              <w:szCs w:val="28"/>
              <w:lang w:val="en-US" w:eastAsia="zh-CN"/>
            </w:rPr>
            <w:t>应急组织机构名单</w:t>
          </w:r>
          <w:r>
            <w:tab/>
          </w:r>
          <w:r>
            <w:fldChar w:fldCharType="begin"/>
          </w:r>
          <w:r>
            <w:instrText xml:space="preserve"> PAGEREF _Toc31014 \h </w:instrText>
          </w:r>
          <w:r>
            <w:fldChar w:fldCharType="separate"/>
          </w:r>
          <w:r>
            <w:t>31</w:t>
          </w:r>
          <w:r>
            <w:fldChar w:fldCharType="end"/>
          </w:r>
          <w:r>
            <w:rPr>
              <w:rFonts w:hint="eastAsia" w:asciiTheme="minorEastAsia" w:hAnsiTheme="minorEastAsia" w:eastAsiaTheme="minorEastAsia" w:cstheme="minorEastAsia"/>
              <w:bCs/>
              <w:szCs w:val="32"/>
            </w:rPr>
            <w:fldChar w:fldCharType="end"/>
          </w:r>
        </w:p>
        <w:p w14:paraId="2D6800B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_Toc26279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附件2：温泉镇突发环境事件应急物资清单</w:t>
          </w:r>
          <w:r>
            <w:tab/>
          </w:r>
          <w:r>
            <w:fldChar w:fldCharType="begin"/>
          </w:r>
          <w:r>
            <w:instrText xml:space="preserve"> PAGEREF _Toc26279 \h </w:instrText>
          </w:r>
          <w:r>
            <w:fldChar w:fldCharType="separate"/>
          </w:r>
          <w:r>
            <w:t>33</w:t>
          </w:r>
          <w:r>
            <w:fldChar w:fldCharType="end"/>
          </w:r>
          <w:r>
            <w:rPr>
              <w:rFonts w:hint="eastAsia" w:asciiTheme="minorEastAsia" w:hAnsiTheme="minorEastAsia" w:eastAsiaTheme="minorEastAsia" w:cstheme="minorEastAsia"/>
              <w:bCs/>
              <w:szCs w:val="32"/>
            </w:rPr>
            <w:fldChar w:fldCharType="end"/>
          </w:r>
        </w:p>
        <w:p w14:paraId="63B48DA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_Toc1573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附件3：开州区应急物资储备情况</w:t>
          </w:r>
          <w:r>
            <w:tab/>
          </w:r>
          <w:r>
            <w:fldChar w:fldCharType="begin"/>
          </w:r>
          <w:r>
            <w:instrText xml:space="preserve"> PAGEREF _Toc1573 \h </w:instrText>
          </w:r>
          <w:r>
            <w:fldChar w:fldCharType="separate"/>
          </w:r>
          <w:r>
            <w:t>34</w:t>
          </w:r>
          <w:r>
            <w:fldChar w:fldCharType="end"/>
          </w:r>
          <w:r>
            <w:rPr>
              <w:rFonts w:hint="eastAsia" w:asciiTheme="minorEastAsia" w:hAnsiTheme="minorEastAsia" w:eastAsiaTheme="minorEastAsia" w:cstheme="minorEastAsia"/>
              <w:bCs/>
              <w:szCs w:val="32"/>
            </w:rPr>
            <w:fldChar w:fldCharType="end"/>
          </w:r>
        </w:p>
        <w:p w14:paraId="203FCFDB">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_Toc5208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附图1  开州区行政区划图</w:t>
          </w:r>
          <w:r>
            <w:tab/>
          </w:r>
          <w:r>
            <w:fldChar w:fldCharType="begin"/>
          </w:r>
          <w:r>
            <w:instrText xml:space="preserve"> PAGEREF _Toc5208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420CE30A">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_Toc30122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附图2  开州区水系图</w:t>
          </w:r>
          <w:r>
            <w:tab/>
          </w:r>
          <w:r>
            <w:fldChar w:fldCharType="begin"/>
          </w:r>
          <w:r>
            <w:instrText xml:space="preserve"> PAGEREF _Toc30122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6000CFD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_Toc30750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附图3-1  开州区温泉镇东河温泉供水站水源地地理位置图</w:t>
          </w:r>
          <w:r>
            <w:tab/>
          </w:r>
          <w:r>
            <w:fldChar w:fldCharType="begin"/>
          </w:r>
          <w:r>
            <w:instrText xml:space="preserve"> PAGEREF _Toc30750 \h </w:instrText>
          </w:r>
          <w:r>
            <w:fldChar w:fldCharType="separate"/>
          </w:r>
          <w:r>
            <w:t>39</w:t>
          </w:r>
          <w:r>
            <w:fldChar w:fldCharType="end"/>
          </w:r>
          <w:r>
            <w:rPr>
              <w:rFonts w:hint="eastAsia" w:asciiTheme="minorEastAsia" w:hAnsiTheme="minorEastAsia" w:eastAsiaTheme="minorEastAsia" w:cstheme="minorEastAsia"/>
              <w:bCs/>
              <w:szCs w:val="32"/>
            </w:rPr>
            <w:fldChar w:fldCharType="end"/>
          </w:r>
        </w:p>
        <w:p w14:paraId="7161BFDC">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_Toc24310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w w:val="90"/>
              <w:szCs w:val="28"/>
              <w:lang w:val="en-US" w:eastAsia="zh-CN"/>
            </w:rPr>
            <w:t>附图3-2  开州区温泉镇东河温泉场镇集中供水工程水源地地理位置图</w:t>
          </w:r>
          <w:r>
            <w:tab/>
          </w:r>
          <w:r>
            <w:fldChar w:fldCharType="begin"/>
          </w:r>
          <w:r>
            <w:instrText xml:space="preserve"> PAGEREF _Toc24310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77D67FAF">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_Toc31621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附图4-1  开州区温泉镇东河温泉供水站水源地及固定、移动风险源分布图</w:t>
          </w:r>
          <w:r>
            <w:tab/>
          </w:r>
          <w:r>
            <w:fldChar w:fldCharType="begin"/>
          </w:r>
          <w:r>
            <w:instrText xml:space="preserve"> PAGEREF _Toc31621 \h </w:instrText>
          </w:r>
          <w:r>
            <w:fldChar w:fldCharType="separate"/>
          </w:r>
          <w:r>
            <w:t>41</w:t>
          </w:r>
          <w:r>
            <w:fldChar w:fldCharType="end"/>
          </w:r>
          <w:r>
            <w:rPr>
              <w:rFonts w:hint="eastAsia" w:asciiTheme="minorEastAsia" w:hAnsiTheme="minorEastAsia" w:eastAsiaTheme="minorEastAsia" w:cstheme="minorEastAsia"/>
              <w:bCs/>
              <w:szCs w:val="32"/>
            </w:rPr>
            <w:fldChar w:fldCharType="end"/>
          </w:r>
        </w:p>
        <w:p w14:paraId="391C58A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_Toc8070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附图4-2  开州区温泉镇东河温泉场镇集中供水工程水源地及固定、移动风险源分布图</w:t>
          </w:r>
          <w:r>
            <w:tab/>
          </w:r>
          <w:r>
            <w:fldChar w:fldCharType="begin"/>
          </w:r>
          <w:r>
            <w:instrText xml:space="preserve"> PAGEREF _Toc8070 \h </w:instrText>
          </w:r>
          <w:r>
            <w:fldChar w:fldCharType="separate"/>
          </w:r>
          <w:r>
            <w:t>41</w:t>
          </w:r>
          <w:r>
            <w:fldChar w:fldCharType="end"/>
          </w:r>
          <w:r>
            <w:rPr>
              <w:rFonts w:hint="eastAsia" w:asciiTheme="minorEastAsia" w:hAnsiTheme="minorEastAsia" w:eastAsiaTheme="minorEastAsia" w:cstheme="minorEastAsia"/>
              <w:bCs/>
              <w:szCs w:val="32"/>
            </w:rPr>
            <w:fldChar w:fldCharType="end"/>
          </w:r>
        </w:p>
        <w:p w14:paraId="5C6F27F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_Toc16301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附图5 突发环境事件应急物资分布图</w:t>
          </w:r>
          <w:r>
            <w:tab/>
          </w:r>
          <w:r>
            <w:fldChar w:fldCharType="begin"/>
          </w:r>
          <w:r>
            <w:instrText xml:space="preserve"> PAGEREF _Toc16301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339B0E2C">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_Toc3879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附图6 饮用水源地监测点位分布图</w:t>
          </w:r>
          <w:r>
            <w:tab/>
          </w:r>
          <w:r>
            <w:fldChar w:fldCharType="begin"/>
          </w:r>
          <w:r>
            <w:instrText xml:space="preserve"> PAGEREF _Toc3879 \h </w:instrText>
          </w:r>
          <w:r>
            <w:fldChar w:fldCharType="separate"/>
          </w:r>
          <w:r>
            <w:t>43</w:t>
          </w:r>
          <w:r>
            <w:fldChar w:fldCharType="end"/>
          </w:r>
          <w:r>
            <w:rPr>
              <w:rFonts w:hint="eastAsia" w:asciiTheme="minorEastAsia" w:hAnsiTheme="minorEastAsia" w:eastAsiaTheme="minorEastAsia" w:cstheme="minorEastAsia"/>
              <w:bCs/>
              <w:szCs w:val="32"/>
            </w:rPr>
            <w:fldChar w:fldCharType="end"/>
          </w:r>
        </w:p>
        <w:p w14:paraId="45CF907B">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pPr>
          <w:r>
            <w:rPr>
              <w:rFonts w:hint="eastAsia" w:asciiTheme="minorEastAsia" w:hAnsiTheme="minorEastAsia" w:eastAsiaTheme="minorEastAsia" w:cstheme="minorEastAsia"/>
              <w:bCs/>
              <w:szCs w:val="32"/>
            </w:rPr>
            <w:fldChar w:fldCharType="end"/>
          </w:r>
        </w:p>
      </w:sdtContent>
    </w:sdt>
    <w:p w14:paraId="54539CB1">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sectPr>
          <w:footerReference r:id="rId6" w:type="first"/>
          <w:headerReference r:id="rId3" w:type="default"/>
          <w:footerReference r:id="rId4" w:type="default"/>
          <w:footerReference r:id="rId5" w:type="even"/>
          <w:pgSz w:w="11906" w:h="16838"/>
          <w:pgMar w:top="1440" w:right="1440" w:bottom="1440" w:left="1440" w:header="1134" w:footer="992" w:gutter="0"/>
          <w:pgBorders>
            <w:top w:val="none" w:sz="0" w:space="0"/>
            <w:left w:val="none" w:sz="0" w:space="0"/>
            <w:bottom w:val="none" w:sz="0" w:space="0"/>
            <w:right w:val="none" w:sz="0" w:space="0"/>
          </w:pgBorders>
          <w:pgNumType w:fmt="decimal" w:start="1"/>
          <w:cols w:space="720" w:num="1"/>
          <w:docGrid w:type="lines" w:linePitch="318" w:charSpace="0"/>
        </w:sectPr>
      </w:pPr>
    </w:p>
    <w:p w14:paraId="231F5401">
      <w:pPr>
        <w:pStyle w:val="13"/>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7"/>
          <w:rFonts w:hint="eastAsia" w:ascii="宋体" w:hAnsi="宋体" w:eastAsia="宋体" w:cs="宋体"/>
          <w:b/>
          <w:bCs/>
          <w:color w:val="000000"/>
          <w:sz w:val="32"/>
          <w:szCs w:val="32"/>
          <w:lang w:val="en-US" w:eastAsia="zh-CN"/>
        </w:rPr>
      </w:pPr>
      <w:bookmarkStart w:id="0" w:name="_Toc12833"/>
      <w:bookmarkStart w:id="1" w:name="_Toc4877"/>
      <w:r>
        <w:rPr>
          <w:rStyle w:val="17"/>
          <w:rFonts w:hint="eastAsia" w:ascii="宋体" w:hAnsi="宋体" w:eastAsia="宋体" w:cs="宋体"/>
          <w:b/>
          <w:bCs/>
          <w:color w:val="000000"/>
          <w:sz w:val="32"/>
          <w:szCs w:val="32"/>
          <w:lang w:val="en-US" w:eastAsia="zh-CN"/>
        </w:rPr>
        <w:t>1总则</w:t>
      </w:r>
      <w:bookmarkEnd w:id="0"/>
      <w:bookmarkEnd w:id="1"/>
    </w:p>
    <w:p w14:paraId="2FDD4913">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2" w:name="_Toc288137727"/>
      <w:bookmarkStart w:id="3" w:name="_Toc26600"/>
      <w:bookmarkStart w:id="4" w:name="_Toc6900"/>
      <w:r>
        <w:rPr>
          <w:rFonts w:hint="eastAsia" w:ascii="宋体" w:hAnsi="宋体" w:eastAsia="宋体" w:cs="宋体"/>
          <w:b/>
          <w:bCs/>
          <w:color w:val="000000"/>
          <w:sz w:val="28"/>
          <w:szCs w:val="28"/>
        </w:rPr>
        <w:t>1.1</w:t>
      </w:r>
      <w:bookmarkEnd w:id="2"/>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rPr>
        <w:t>编制目的</w:t>
      </w:r>
      <w:bookmarkEnd w:id="3"/>
      <w:bookmarkEnd w:id="4"/>
    </w:p>
    <w:p w14:paraId="2638DC2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为建立健全水环境污染事件应急机制，有效预防和减少突发环境事件的发生，快速、科学地进行突发环境事件的应急处置，全面提高应对</w:t>
      </w: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突发环境事件的能力，有效应对</w:t>
      </w: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（以下简称水源地）突发环境事件，最大程度降低突发环境事件对水源地水质影响，规范水源地突发环境事件应对的各项工作，特制定本预案。并为开州区生态环境局及相关部门制定应急预案提供支撑。</w:t>
      </w:r>
    </w:p>
    <w:p w14:paraId="5E46F5B8">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5" w:name="_Toc288137728"/>
      <w:bookmarkStart w:id="6" w:name="_Toc12629"/>
      <w:bookmarkStart w:id="7" w:name="_Toc20628"/>
      <w:r>
        <w:rPr>
          <w:rFonts w:hint="eastAsia" w:ascii="宋体" w:hAnsi="宋体" w:eastAsia="宋体" w:cs="宋体"/>
          <w:b/>
          <w:bCs/>
          <w:color w:val="000000"/>
          <w:sz w:val="28"/>
          <w:szCs w:val="28"/>
        </w:rPr>
        <w:t>1.2</w:t>
      </w:r>
      <w:bookmarkEnd w:id="5"/>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适用范围</w:t>
      </w:r>
      <w:bookmarkEnd w:id="6"/>
      <w:bookmarkEnd w:id="7"/>
    </w:p>
    <w:p w14:paraId="0EB9974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本预案适用于</w:t>
      </w: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保护区内环境污染、破坏事件、输水管道、自然灾</w:t>
      </w:r>
      <w:r>
        <w:rPr>
          <w:rFonts w:hint="eastAsia" w:cs="宋体"/>
          <w:color w:val="auto"/>
          <w:sz w:val="28"/>
          <w:szCs w:val="28"/>
          <w:lang w:val="en-US" w:eastAsia="zh-CN"/>
        </w:rPr>
        <w:t>害等</w:t>
      </w:r>
      <w:r>
        <w:rPr>
          <w:rFonts w:hint="eastAsia" w:ascii="宋体" w:hAnsi="宋体" w:eastAsia="宋体" w:cs="宋体"/>
          <w:color w:val="auto"/>
          <w:sz w:val="28"/>
          <w:szCs w:val="28"/>
          <w:lang w:val="en-US" w:eastAsia="zh-CN"/>
        </w:rPr>
        <w:t>造成的危及人体健康的环境事件及其他影响</w:t>
      </w: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水质的</w:t>
      </w:r>
      <w:r>
        <w:rPr>
          <w:rFonts w:hint="eastAsia" w:cs="宋体"/>
          <w:color w:val="auto"/>
          <w:sz w:val="28"/>
          <w:szCs w:val="28"/>
          <w:lang w:val="en-US" w:eastAsia="zh-CN"/>
        </w:rPr>
        <w:t>其他</w:t>
      </w:r>
      <w:r>
        <w:rPr>
          <w:rFonts w:hint="eastAsia" w:ascii="宋体" w:hAnsi="宋体" w:eastAsia="宋体" w:cs="宋体"/>
          <w:color w:val="auto"/>
          <w:sz w:val="28"/>
          <w:szCs w:val="28"/>
          <w:lang w:val="en-US" w:eastAsia="zh-CN"/>
        </w:rPr>
        <w:t>严重污染事件等重污染事件。</w:t>
      </w:r>
    </w:p>
    <w:p w14:paraId="1432F8B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8" w:name="_Toc29315"/>
      <w:bookmarkStart w:id="9" w:name="_Toc12248"/>
      <w:r>
        <w:rPr>
          <w:rFonts w:hint="eastAsia" w:ascii="宋体" w:hAnsi="宋体" w:eastAsia="宋体" w:cs="宋体"/>
          <w:b/>
          <w:bCs/>
          <w:color w:val="000000"/>
          <w:sz w:val="28"/>
          <w:szCs w:val="28"/>
        </w:rPr>
        <w:t>1.3</w:t>
      </w:r>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编制依据</w:t>
      </w:r>
      <w:bookmarkEnd w:id="8"/>
      <w:bookmarkEnd w:id="9"/>
    </w:p>
    <w:p w14:paraId="13754B8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《中华人民共和国环境保护法》</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主席令第9号，2015</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21A59BE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《中华人民共和国水污染防治法》</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主席令第87号，2017年修订版</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72EB6B1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《中华人民共和国突发事件应对法》</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主席令第25号，2024</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1C1F991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《国家突发环境事件应急预案》（国办函〔2014〕119号）；</w:t>
      </w:r>
    </w:p>
    <w:p w14:paraId="643B66D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《国务院关于加强环境保护重点工作的意见》（国发〔2011〕35号）；</w:t>
      </w:r>
    </w:p>
    <w:p w14:paraId="76C17E6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《突发事件应急预案管理办法》（国办发〔20</w:t>
      </w:r>
      <w:r>
        <w:rPr>
          <w:rFonts w:hint="eastAsia" w:cs="宋体"/>
          <w:color w:val="auto"/>
          <w:sz w:val="28"/>
          <w:szCs w:val="28"/>
          <w:lang w:val="en-US" w:eastAsia="zh-CN"/>
        </w:rPr>
        <w:t>25</w:t>
      </w: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号）；</w:t>
      </w:r>
    </w:p>
    <w:p w14:paraId="5DB3E8B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《企业事业单位突发环境事件应急预案备案管理办法（试行）》（环发〔2015〕4号）；</w:t>
      </w:r>
    </w:p>
    <w:p w14:paraId="7704DBC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《企业突发环境事件隐患排查和治理工作指南（试行）》（环境保护部公告2016年第74号）；</w:t>
      </w:r>
    </w:p>
    <w:p w14:paraId="79CEB02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《突发环境事件应急监测技术规范》（HJ 589-2010）；</w:t>
      </w:r>
    </w:p>
    <w:p w14:paraId="3E7932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《突发环境事件信息报告办法》（环境保护部令第17号，2011）；</w:t>
      </w:r>
    </w:p>
    <w:p w14:paraId="301F595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《城市供水条例》（中华人民共和国国务院令第158号，1994）；</w:t>
      </w:r>
    </w:p>
    <w:p w14:paraId="108D01A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《城市供水水质管理规定》（中华人民共和国建设部令第156号，2006）；</w:t>
      </w:r>
    </w:p>
    <w:p w14:paraId="0B4360F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《生活饮用水卫生监督管理办法》（中华人民共和国城乡建设部、卫生计生委令第31号，2016）；</w:t>
      </w:r>
    </w:p>
    <w:p w14:paraId="69B30D2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《重庆市环境保护管理条例》（2018年修订）；</w:t>
      </w:r>
    </w:p>
    <w:p w14:paraId="0594B51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《重庆市长江三峡库区流域水污染防治条例》（重庆市人大常委会公告〔2011〕26号）；</w:t>
      </w:r>
    </w:p>
    <w:p w14:paraId="7085C23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《重庆市饮用水源污染防治办法》（重庆市人民政府令第159号，2003）；</w:t>
      </w:r>
    </w:p>
    <w:p w14:paraId="2116DAB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《重庆市城市供水节水管理条例》（重庆市人大常委会公告〔1999〕111号，2012年11月29日修订）；</w:t>
      </w:r>
    </w:p>
    <w:p w14:paraId="053E07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《重庆市村镇供水条例》重庆市人民代表大会常务委员会公告〔2016〕第55号</w:t>
      </w:r>
    </w:p>
    <w:p w14:paraId="52BB3D5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《重庆市突发事件应对条例》（重庆市人大常委会公告〔2012〕9号）；</w:t>
      </w:r>
    </w:p>
    <w:p w14:paraId="066790F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《重庆市人民政府突发公共事件总体应急预案》（2007）；</w:t>
      </w:r>
    </w:p>
    <w:p w14:paraId="7DEE75D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《重庆市人民政府办公厅关于调整万州区等31个区县（自治县）集中式饮用水源保护区的通知》</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府办[2013]40号</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14E7412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《重庆市政府办公厅关于调整万州区等36个区县（自治县）集中式饮用水水源保护区调整方案》（渝府办[2016]19号）；</w:t>
      </w:r>
    </w:p>
    <w:p w14:paraId="5B7AAB5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《重庆市人民政府办公厅关于印发万州区等区县</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开发区</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集中式饮用水源地保护区划分及调整方案的通知》（渝府办[2018]7号）；</w:t>
      </w:r>
    </w:p>
    <w:p w14:paraId="4D4F328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《突发环境事件应急预案管理暂行办法》（2010）113号印发；</w:t>
      </w:r>
    </w:p>
    <w:p w14:paraId="3B7467B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《重庆市三峡库区流域水环境突发事件应急预案》；</w:t>
      </w:r>
      <w:bookmarkStart w:id="10" w:name="OLE_LINK10"/>
    </w:p>
    <w:p w14:paraId="62FA902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End w:id="10"/>
      <w:r>
        <w:rPr>
          <w:rFonts w:hint="eastAsia" w:ascii="宋体" w:hAnsi="宋体" w:eastAsia="宋体" w:cs="宋体"/>
          <w:color w:val="auto"/>
          <w:sz w:val="28"/>
          <w:szCs w:val="28"/>
          <w:lang w:val="en-US" w:eastAsia="zh-CN"/>
        </w:rPr>
        <w:t>开州区突发环境事件应急预案》；</w:t>
      </w:r>
    </w:p>
    <w:p w14:paraId="63D59BA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Start w:id="11" w:name="OLE_LINK40"/>
      <w:r>
        <w:rPr>
          <w:rFonts w:hint="eastAsia" w:ascii="宋体" w:hAnsi="宋体" w:eastAsia="宋体" w:cs="宋体"/>
          <w:color w:val="auto"/>
          <w:sz w:val="28"/>
          <w:szCs w:val="28"/>
          <w:lang w:val="en-US" w:eastAsia="zh-CN"/>
        </w:rPr>
        <w:t>开州区饮用水源地突发环境事件应急预案</w:t>
      </w:r>
      <w:bookmarkEnd w:id="11"/>
      <w:r>
        <w:rPr>
          <w:rFonts w:hint="eastAsia" w:ascii="宋体" w:hAnsi="宋体" w:eastAsia="宋体" w:cs="宋体"/>
          <w:color w:val="auto"/>
          <w:sz w:val="28"/>
          <w:szCs w:val="28"/>
          <w:lang w:val="en-US" w:eastAsia="zh-CN"/>
        </w:rPr>
        <w:t>》；</w:t>
      </w:r>
    </w:p>
    <w:p w14:paraId="2C2196F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《集中式饮用水水源地规范化建设环境保护技术要求》（HJ773）；</w:t>
      </w:r>
    </w:p>
    <w:p w14:paraId="3580046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《集中式饮用水水源地环境保护状况评估技术规范》（HJ774）；</w:t>
      </w:r>
    </w:p>
    <w:p w14:paraId="3FA1BA9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《危险化学品安全管理条例》</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国务院令第645号，2011年修订</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29F9EA4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《集中式地表水饮用水水源地突发环境事件应急预案编制指南（试行）》（公告2018年第1号）。</w:t>
      </w:r>
    </w:p>
    <w:p w14:paraId="7DA1977A">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12" w:name="_Toc386312991"/>
      <w:bookmarkStart w:id="13" w:name="_Toc24657"/>
      <w:bookmarkStart w:id="14" w:name="_Toc13899"/>
      <w:r>
        <w:rPr>
          <w:rFonts w:hint="eastAsia" w:ascii="宋体" w:hAnsi="宋体" w:eastAsia="宋体" w:cs="宋体"/>
          <w:b/>
          <w:bCs/>
          <w:color w:val="000000"/>
          <w:sz w:val="28"/>
          <w:szCs w:val="28"/>
        </w:rPr>
        <w:t>1.</w:t>
      </w:r>
      <w:r>
        <w:rPr>
          <w:rFonts w:hint="eastAsia" w:ascii="宋体" w:hAnsi="宋体" w:eastAsia="宋体" w:cs="宋体"/>
          <w:b/>
          <w:bCs/>
          <w:color w:val="000000"/>
          <w:sz w:val="28"/>
          <w:szCs w:val="28"/>
          <w:lang w:val="en-US" w:eastAsia="zh-CN"/>
        </w:rPr>
        <w:t xml:space="preserve">4 </w:t>
      </w:r>
      <w:r>
        <w:rPr>
          <w:rFonts w:hint="eastAsia" w:ascii="宋体" w:hAnsi="宋体" w:eastAsia="宋体" w:cs="宋体"/>
          <w:b/>
          <w:bCs/>
          <w:color w:val="000000"/>
          <w:sz w:val="28"/>
          <w:szCs w:val="28"/>
        </w:rPr>
        <w:t>工作原则</w:t>
      </w:r>
      <w:bookmarkEnd w:id="12"/>
      <w:bookmarkEnd w:id="13"/>
      <w:bookmarkEnd w:id="14"/>
    </w:p>
    <w:p w14:paraId="3ED188B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在建立突发性环境污染事件应急系统及其响应程序时，本着实事求是、切实可行的方针，贯彻如下原则：</w:t>
      </w:r>
    </w:p>
    <w:p w14:paraId="26830B7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（1）救人第一、环境优先；</w:t>
      </w:r>
    </w:p>
    <w:p w14:paraId="77CB152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（2）先期处置、防止危害扩大；</w:t>
      </w:r>
    </w:p>
    <w:p w14:paraId="00141CC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（3）快速响应、科学应对；</w:t>
      </w:r>
    </w:p>
    <w:p w14:paraId="4505EA9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（4）应急工作与岗位职责相结合。</w:t>
      </w:r>
    </w:p>
    <w:p w14:paraId="1F6CC92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zh-CN"/>
        </w:rPr>
      </w:pPr>
      <w:bookmarkStart w:id="15" w:name="_Toc23746"/>
      <w:bookmarkStart w:id="16" w:name="_Toc294080711"/>
      <w:bookmarkStart w:id="17" w:name="_Toc295467917"/>
      <w:bookmarkStart w:id="18" w:name="_Toc30184"/>
      <w:bookmarkStart w:id="19" w:name="_Toc14346"/>
      <w:bookmarkStart w:id="20" w:name="_Toc6758"/>
      <w:r>
        <w:rPr>
          <w:rFonts w:hint="eastAsia" w:ascii="宋体" w:hAnsi="宋体" w:eastAsia="宋体" w:cs="宋体"/>
          <w:b/>
          <w:bCs/>
          <w:color w:val="000000"/>
          <w:sz w:val="28"/>
          <w:szCs w:val="28"/>
          <w:lang w:val="zh-CN"/>
        </w:rPr>
        <w:t>1.</w:t>
      </w:r>
      <w:r>
        <w:rPr>
          <w:rFonts w:hint="eastAsia" w:ascii="宋体" w:hAnsi="宋体" w:eastAsia="宋体" w:cs="宋体"/>
          <w:b/>
          <w:bCs/>
          <w:color w:val="000000"/>
          <w:sz w:val="28"/>
          <w:szCs w:val="28"/>
          <w:lang w:val="en-US" w:eastAsia="zh-CN"/>
        </w:rPr>
        <w:t xml:space="preserve">5 </w:t>
      </w:r>
      <w:r>
        <w:rPr>
          <w:rFonts w:hint="eastAsia" w:ascii="宋体" w:hAnsi="宋体" w:eastAsia="宋体" w:cs="宋体"/>
          <w:b/>
          <w:bCs/>
          <w:color w:val="000000"/>
          <w:sz w:val="28"/>
          <w:szCs w:val="28"/>
          <w:lang w:val="zh-CN"/>
        </w:rPr>
        <w:t>应急预案体系</w:t>
      </w:r>
      <w:bookmarkEnd w:id="15"/>
      <w:bookmarkEnd w:id="16"/>
      <w:bookmarkEnd w:id="17"/>
      <w:bookmarkEnd w:id="18"/>
      <w:bookmarkEnd w:id="19"/>
      <w:bookmarkEnd w:id="20"/>
    </w:p>
    <w:p w14:paraId="107836C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本预案为</w:t>
      </w: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突发环境事件应急预案，该预案与《开州区突发环境事件应急预案》《重庆市开州区集中式饮用水源地突发环境事件应急预案》</w:t>
      </w:r>
      <w:r>
        <w:rPr>
          <w:rFonts w:hint="eastAsia" w:cs="宋体"/>
          <w:color w:val="auto"/>
          <w:sz w:val="28"/>
          <w:szCs w:val="28"/>
          <w:lang w:val="en-US" w:eastAsia="zh-CN"/>
        </w:rPr>
        <w:t>《重庆市开州区温泉镇突发环境事件应急预案》</w:t>
      </w:r>
      <w:r>
        <w:rPr>
          <w:rFonts w:hint="eastAsia" w:ascii="宋体" w:hAnsi="宋体" w:eastAsia="宋体" w:cs="宋体"/>
          <w:color w:val="auto"/>
          <w:sz w:val="28"/>
          <w:szCs w:val="28"/>
          <w:lang w:val="en-US" w:eastAsia="zh-CN"/>
        </w:rPr>
        <w:t>相衔接。</w:t>
      </w:r>
    </w:p>
    <w:p w14:paraId="1FE157F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应急预案体系组成结构见：图1.5-1。</w:t>
      </w:r>
    </w:p>
    <w:p w14:paraId="00DA56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0" w:firstLineChars="0"/>
        <w:jc w:val="center"/>
        <w:textAlignment w:val="auto"/>
        <w:rPr>
          <w:rFonts w:hint="default" w:hAnsi="宋体"/>
          <w:b/>
          <w:bCs/>
          <w:sz w:val="24"/>
          <w:szCs w:val="24"/>
        </w:rPr>
      </w:pPr>
      <w:r>
        <w:rPr>
          <w:rFonts w:hint="eastAsia" w:hAnsi="宋体"/>
          <w:b/>
          <w:bCs/>
          <w:sz w:val="24"/>
          <w:szCs w:val="24"/>
          <w:lang w:val="en-US"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86360</wp:posOffset>
            </wp:positionV>
            <wp:extent cx="5696585" cy="2886710"/>
            <wp:effectExtent l="0" t="0" r="18415" b="8890"/>
            <wp:wrapTopAndBottom/>
            <wp:docPr id="1" name="F360BE8B-6686-4F3D-AEAF-501FE73E4058-1" descr="C:/Users/张龙坤/AppData/Local/Temp/绘图1(5).png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张龙坤/AppData/Local/Temp/绘图1(5).png绘图1(5)"/>
                    <pic:cNvPicPr>
                      <a:picLocks noChangeAspect="1"/>
                    </pic:cNvPicPr>
                  </pic:nvPicPr>
                  <pic:blipFill>
                    <a:blip r:embed="rId10"/>
                    <a:stretch>
                      <a:fillRect/>
                    </a:stretch>
                  </pic:blipFill>
                  <pic:spPr>
                    <a:xfrm>
                      <a:off x="0" y="0"/>
                      <a:ext cx="5696712" cy="2886456"/>
                    </a:xfrm>
                    <a:prstGeom prst="rect">
                      <a:avLst/>
                    </a:prstGeom>
                  </pic:spPr>
                </pic:pic>
              </a:graphicData>
            </a:graphic>
          </wp:anchor>
        </w:drawing>
      </w:r>
      <w:r>
        <w:rPr>
          <w:rFonts w:hint="eastAsia" w:hAnsi="宋体"/>
          <w:b/>
          <w:bCs/>
          <w:sz w:val="24"/>
          <w:szCs w:val="24"/>
          <w:lang w:val="en-US" w:eastAsia="zh-CN"/>
        </w:rPr>
        <w:t xml:space="preserve">图1.5-1 </w:t>
      </w:r>
      <w:r>
        <w:rPr>
          <w:rFonts w:hint="default" w:hAnsi="宋体"/>
          <w:b/>
          <w:bCs/>
          <w:sz w:val="24"/>
          <w:szCs w:val="24"/>
        </w:rPr>
        <w:t>预案体系结构图</w:t>
      </w:r>
    </w:p>
    <w:p w14:paraId="5156264F">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1" w:name="_Toc14755"/>
      <w:r>
        <w:rPr>
          <w:rFonts w:hint="eastAsia" w:ascii="宋体" w:hAnsi="宋体" w:eastAsia="宋体" w:cs="宋体"/>
          <w:b/>
          <w:bCs/>
          <w:color w:val="000000"/>
          <w:sz w:val="28"/>
          <w:szCs w:val="28"/>
          <w:lang w:val="en-US" w:eastAsia="zh-CN"/>
        </w:rPr>
        <w:t>1.6 事件分级</w:t>
      </w:r>
      <w:bookmarkEnd w:id="21"/>
    </w:p>
    <w:p w14:paraId="15251C8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照突发环境事件的严重性和紧急程度，突发环境事件分为特别重大环境事件（Ⅰ级）、重大环境事件（Ⅱ级）、较大环境事件（Ⅲ级）和一般环境事件（Ⅳ级）四级。预警分级颜色依次为红色、橙色、黄色和蓝色。</w:t>
      </w:r>
    </w:p>
    <w:p w14:paraId="2DCA2EB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1.特别重大（Ⅰ级）突发环境事件。</w:t>
      </w:r>
    </w:p>
    <w:p w14:paraId="2416889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凡符合下列情形之一的，为特别重大突发环境事件：</w:t>
      </w:r>
    </w:p>
    <w:p w14:paraId="5D505F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（1）因突发环境事件，造成主要水源地供水中断，影响居民生活，经济损失1000万元以上。</w:t>
      </w:r>
    </w:p>
    <w:p w14:paraId="597AC71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（2）因突发环境事件造成饮用水源严重污染，导致100人以上中毒。</w:t>
      </w:r>
    </w:p>
    <w:p w14:paraId="1A0E24F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（3）发生大面积水华（藻类数量达到108个/升，区段河长≥10 公里）并造成严重的饮用水源污染的。</w:t>
      </w:r>
    </w:p>
    <w:p w14:paraId="688C2B3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2.重大（Ⅱ级）突发环境事件。</w:t>
      </w:r>
    </w:p>
    <w:p w14:paraId="7D0442B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凡符合下列情形之一的，为重大突发环境事件：</w:t>
      </w:r>
    </w:p>
    <w:p w14:paraId="6B8A522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（1）因突发环境事件，部分水厂供水中断，大面积供水受到影响</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经济损失500万元以上、1000万元以下。</w:t>
      </w:r>
    </w:p>
    <w:p w14:paraId="4093D40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（2）因突发环境事件造成饮用水源严重污染，导致50人以上、100人以下中毒。</w:t>
      </w:r>
    </w:p>
    <w:p w14:paraId="21CE71E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（3）因环境污染造成涪江大面积污染，导致</w:t>
      </w:r>
      <w:bookmarkStart w:id="22" w:name="OLE_LINK11"/>
      <w:r>
        <w:rPr>
          <w:rFonts w:hint="eastAsia" w:ascii="宋体" w:hAnsi="宋体" w:eastAsia="宋体" w:cs="宋体"/>
          <w:color w:val="auto"/>
          <w:sz w:val="28"/>
          <w:szCs w:val="28"/>
          <w:lang w:val="en-US" w:eastAsia="zh-CN"/>
        </w:rPr>
        <w:t>合川城区集中式饮用水源</w:t>
      </w:r>
      <w:bookmarkEnd w:id="22"/>
      <w:r>
        <w:rPr>
          <w:rFonts w:hint="eastAsia" w:ascii="宋体" w:hAnsi="宋体" w:eastAsia="宋体" w:cs="宋体"/>
          <w:color w:val="auto"/>
          <w:sz w:val="28"/>
          <w:szCs w:val="28"/>
          <w:lang w:val="en-US" w:eastAsia="zh-CN"/>
        </w:rPr>
        <w:t>地取水中断的。</w:t>
      </w:r>
    </w:p>
    <w:p w14:paraId="406BC1C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（4）发生大面积水华（藻类数量达到108个/升，区段河长≥6公里）并造成较为严重的饮用水源污染的。</w:t>
      </w:r>
    </w:p>
    <w:p w14:paraId="6894C1E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3.较大（Ⅲ级）突发环境事件。</w:t>
      </w:r>
    </w:p>
    <w:p w14:paraId="230F034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凡符合下列情形之一的，为较大突发环境事件：</w:t>
      </w:r>
    </w:p>
    <w:p w14:paraId="5272270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（1）因突发环境事件，造成暂时性停水，影响部分居民生活，经济损失10万元以上、500万元以下。</w:t>
      </w:r>
    </w:p>
    <w:p w14:paraId="0CDF211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（2）因突发环境事件造成饮用水源严重污染，导致10人以上、50人以下中毒。</w:t>
      </w:r>
    </w:p>
    <w:p w14:paraId="7D28D06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（3）因环境污染造成乡镇饮用水源地取水中断的。</w:t>
      </w:r>
    </w:p>
    <w:p w14:paraId="4CD25C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（4）发生大面积水华（藻类数量达到108个/升，区段河长≥3公里）并造成饮用水源污染的。</w:t>
      </w:r>
    </w:p>
    <w:p w14:paraId="76D131C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4.一般（Ⅳ级）突发环境事件。</w:t>
      </w:r>
    </w:p>
    <w:p w14:paraId="342426B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（1）因饮用水源污染造成直接经济损失10万元以下的； </w:t>
      </w:r>
    </w:p>
    <w:p w14:paraId="55AC741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（2）因饮用水源污染直接导致10人以下中毒的；</w:t>
      </w:r>
    </w:p>
    <w:p w14:paraId="1BCF72F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w:t>
      </w:r>
      <w:bookmarkStart w:id="23" w:name="OLE_LINK12"/>
      <w:r>
        <w:rPr>
          <w:rFonts w:hint="eastAsia" w:ascii="宋体" w:hAnsi="宋体" w:eastAsia="宋体" w:cs="宋体"/>
          <w:color w:val="auto"/>
          <w:sz w:val="28"/>
          <w:szCs w:val="28"/>
          <w:lang w:val="en-US" w:eastAsia="zh-CN"/>
        </w:rPr>
        <w:t>村、社集中式饮用水源地</w:t>
      </w:r>
      <w:bookmarkEnd w:id="23"/>
      <w:r>
        <w:rPr>
          <w:rFonts w:hint="eastAsia" w:ascii="宋体" w:hAnsi="宋体" w:eastAsia="宋体" w:cs="宋体"/>
          <w:color w:val="auto"/>
          <w:sz w:val="28"/>
          <w:szCs w:val="28"/>
          <w:lang w:val="en-US" w:eastAsia="zh-CN"/>
        </w:rPr>
        <w:t>取水中断的；</w:t>
      </w:r>
    </w:p>
    <w:p w14:paraId="2938D35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sectPr>
          <w:pgSz w:w="11906" w:h="16838"/>
          <w:pgMar w:top="1440" w:right="1800" w:bottom="1440" w:left="1800" w:header="851" w:footer="992" w:gutter="0"/>
          <w:pgNumType w:start="1"/>
          <w:cols w:space="720" w:num="1"/>
          <w:rtlGutter w:val="0"/>
          <w:docGrid w:type="lines" w:linePitch="312" w:charSpace="0"/>
        </w:sectPr>
      </w:pPr>
      <w:r>
        <w:rPr>
          <w:rFonts w:hint="eastAsia" w:ascii="宋体" w:hAnsi="宋体" w:eastAsia="宋体" w:cs="宋体"/>
          <w:color w:val="auto"/>
          <w:sz w:val="28"/>
          <w:szCs w:val="28"/>
          <w:lang w:val="en-US" w:eastAsia="zh-CN"/>
        </w:rPr>
        <w:t>（4）发生大面积水华（藻类数量达到 108个/升，区段河长＜3公里）并造成饮用水源污染的。</w:t>
      </w:r>
    </w:p>
    <w:p w14:paraId="4538A8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b/>
          <w:bCs/>
          <w:color w:val="auto"/>
          <w:kern w:val="2"/>
          <w:sz w:val="32"/>
          <w:szCs w:val="32"/>
          <w:lang w:val="en-US" w:eastAsia="zh-CN" w:bidi="ar-SA"/>
        </w:rPr>
      </w:pPr>
      <w:bookmarkStart w:id="24" w:name="_Toc27083"/>
      <w:bookmarkStart w:id="25" w:name="_Toc3575"/>
      <w:r>
        <w:rPr>
          <w:rFonts w:hint="eastAsia" w:ascii="宋体" w:hAnsi="宋体" w:eastAsia="宋体" w:cs="宋体"/>
          <w:b/>
          <w:bCs/>
          <w:color w:val="auto"/>
          <w:kern w:val="2"/>
          <w:sz w:val="32"/>
          <w:szCs w:val="32"/>
          <w:lang w:val="en-US" w:eastAsia="zh-CN" w:bidi="ar-SA"/>
        </w:rPr>
        <w:t>2 开州区温泉镇东河温泉供水站水源地基础信息</w:t>
      </w:r>
      <w:bookmarkEnd w:id="24"/>
      <w:bookmarkEnd w:id="25"/>
    </w:p>
    <w:p w14:paraId="3D9D62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6" w:name="_Toc32095"/>
      <w:bookmarkStart w:id="27" w:name="_Toc27473"/>
      <w:bookmarkStart w:id="28" w:name="_Toc11400"/>
      <w:r>
        <w:rPr>
          <w:rFonts w:hint="eastAsia" w:ascii="宋体" w:hAnsi="宋体" w:eastAsia="宋体" w:cs="宋体"/>
          <w:b/>
          <w:bCs/>
          <w:color w:val="000000"/>
          <w:sz w:val="28"/>
          <w:szCs w:val="28"/>
          <w:lang w:val="en-US" w:eastAsia="zh-CN"/>
        </w:rPr>
        <w:t>2.1 开州区温泉镇东河温泉供水站水源地基础信息</w:t>
      </w:r>
      <w:bookmarkEnd w:id="26"/>
      <w:bookmarkEnd w:id="27"/>
      <w:bookmarkEnd w:id="28"/>
    </w:p>
    <w:p w14:paraId="39F1A11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开州区温泉镇东河温泉供水站水源地属于河流型水源，水源代码为FB7300500154106S0001，取水点</w:t>
      </w:r>
      <w:r>
        <w:rPr>
          <w:rFonts w:hint="eastAsia" w:cs="宋体"/>
          <w:color w:val="auto"/>
          <w:sz w:val="28"/>
          <w:szCs w:val="28"/>
          <w:lang w:val="en-US" w:eastAsia="zh-CN"/>
        </w:rPr>
        <w:t>东经</w:t>
      </w:r>
      <w:r>
        <w:rPr>
          <w:rFonts w:hint="eastAsia" w:ascii="宋体" w:hAnsi="宋体" w:eastAsia="宋体" w:cs="宋体"/>
          <w:color w:val="auto"/>
          <w:sz w:val="28"/>
          <w:szCs w:val="28"/>
          <w:lang w:val="en-US" w:eastAsia="zh-CN"/>
        </w:rPr>
        <w:t>108°30′51″，北纬31°22′13″，服务人口2.5万人，服务范围为温泉镇及周边村，设计供水量1200m3/d；开州区温泉镇东河温泉场镇集中供水工程水源地属于河流型水源，2020年正式划定为乡镇集中式饮用水水源地，水源代码为FB7300500154106S0002，取水点东经108°28′50″，北纬31°23′54″，服务人口2.5万人，设计供水量1500m3/d。</w:t>
      </w:r>
    </w:p>
    <w:p w14:paraId="4E1DCE2D">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9" w:name="_Toc21294"/>
      <w:r>
        <w:rPr>
          <w:rFonts w:hint="eastAsia" w:ascii="宋体" w:hAnsi="宋体" w:eastAsia="宋体" w:cs="宋体"/>
          <w:b/>
          <w:bCs/>
          <w:color w:val="000000"/>
          <w:sz w:val="28"/>
          <w:szCs w:val="28"/>
          <w:lang w:val="en-US" w:eastAsia="zh-CN"/>
        </w:rPr>
        <w:t>2.2 饮用水源地保护区划分情况简介</w:t>
      </w:r>
      <w:bookmarkEnd w:id="29"/>
    </w:p>
    <w:p w14:paraId="0EAD793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2018年5月根据重庆市人民政府办公厅《关于调整万州等区县（开发区）集中式</w:t>
      </w:r>
      <w:r>
        <w:rPr>
          <w:rFonts w:hint="eastAsia" w:cs="宋体"/>
          <w:color w:val="auto"/>
          <w:sz w:val="28"/>
          <w:szCs w:val="28"/>
          <w:lang w:val="en-US" w:eastAsia="zh-CN"/>
        </w:rPr>
        <w:t>饮用</w:t>
      </w:r>
      <w:r>
        <w:rPr>
          <w:rFonts w:hint="eastAsia" w:ascii="宋体" w:hAnsi="宋体" w:eastAsia="宋体" w:cs="宋体"/>
          <w:color w:val="auto"/>
          <w:sz w:val="28"/>
          <w:szCs w:val="28"/>
          <w:lang w:val="en-US" w:eastAsia="zh-CN"/>
        </w:rPr>
        <w:t>水源地保护区划分及调整方案的通知》（渝府办[2018]7号）要求，对饮用水厂水源地进行了调整，调整后的情况见表2.2-1。</w:t>
      </w:r>
    </w:p>
    <w:p w14:paraId="285786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表2.2-1 </w:t>
      </w:r>
      <w:r>
        <w:rPr>
          <w:rFonts w:hint="eastAsia" w:asciiTheme="minorEastAsia" w:hAnsiTheme="minorEastAsia" w:eastAsiaTheme="minorEastAsia" w:cstheme="minorEastAsia"/>
          <w:b/>
          <w:bCs/>
          <w:sz w:val="24"/>
          <w:szCs w:val="24"/>
          <w:lang w:eastAsia="zh-CN"/>
        </w:rPr>
        <w:t>开州区温泉镇东河温泉供水站水源地调整情况表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
        <w:gridCol w:w="889"/>
        <w:gridCol w:w="475"/>
        <w:gridCol w:w="475"/>
        <w:gridCol w:w="615"/>
        <w:gridCol w:w="449"/>
        <w:gridCol w:w="496"/>
        <w:gridCol w:w="1042"/>
        <w:gridCol w:w="1551"/>
        <w:gridCol w:w="1239"/>
        <w:gridCol w:w="1552"/>
      </w:tblGrid>
      <w:tr w14:paraId="4D83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restart"/>
            <w:noWrap w:val="0"/>
            <w:tcMar>
              <w:top w:w="15" w:type="dxa"/>
              <w:left w:w="15" w:type="dxa"/>
              <w:bottom w:w="15" w:type="dxa"/>
              <w:right w:w="15" w:type="dxa"/>
            </w:tcMar>
            <w:vAlign w:val="center"/>
          </w:tcPr>
          <w:p w14:paraId="0806C5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0" w:type="auto"/>
            <w:vMerge w:val="restart"/>
            <w:noWrap w:val="0"/>
            <w:tcMar>
              <w:top w:w="15" w:type="dxa"/>
              <w:left w:w="15" w:type="dxa"/>
              <w:bottom w:w="15" w:type="dxa"/>
              <w:right w:w="15" w:type="dxa"/>
            </w:tcMar>
            <w:vAlign w:val="center"/>
          </w:tcPr>
          <w:p w14:paraId="2D3B619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饮用水源地名称</w:t>
            </w:r>
          </w:p>
        </w:tc>
        <w:tc>
          <w:tcPr>
            <w:tcW w:w="0" w:type="auto"/>
            <w:vMerge w:val="restart"/>
            <w:noWrap w:val="0"/>
            <w:tcMar>
              <w:top w:w="15" w:type="dxa"/>
              <w:left w:w="15" w:type="dxa"/>
              <w:bottom w:w="15" w:type="dxa"/>
              <w:right w:w="15" w:type="dxa"/>
            </w:tcMar>
            <w:vAlign w:val="center"/>
          </w:tcPr>
          <w:p w14:paraId="77E38F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水源名称</w:t>
            </w:r>
          </w:p>
        </w:tc>
        <w:tc>
          <w:tcPr>
            <w:tcW w:w="0" w:type="auto"/>
            <w:vMerge w:val="restart"/>
            <w:noWrap w:val="0"/>
            <w:tcMar>
              <w:top w:w="15" w:type="dxa"/>
              <w:left w:w="15" w:type="dxa"/>
              <w:bottom w:w="15" w:type="dxa"/>
              <w:right w:w="15" w:type="dxa"/>
            </w:tcMar>
            <w:vAlign w:val="center"/>
          </w:tcPr>
          <w:p w14:paraId="579DC69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水源类型</w:t>
            </w:r>
          </w:p>
        </w:tc>
        <w:tc>
          <w:tcPr>
            <w:tcW w:w="0" w:type="auto"/>
            <w:vMerge w:val="restart"/>
            <w:noWrap w:val="0"/>
            <w:tcMar>
              <w:top w:w="15" w:type="dxa"/>
              <w:left w:w="15" w:type="dxa"/>
              <w:bottom w:w="15" w:type="dxa"/>
              <w:right w:w="15" w:type="dxa"/>
            </w:tcMar>
            <w:vAlign w:val="center"/>
          </w:tcPr>
          <w:p w14:paraId="5A9FAD0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水源所在镇（街道）</w:t>
            </w:r>
          </w:p>
        </w:tc>
        <w:tc>
          <w:tcPr>
            <w:tcW w:w="0" w:type="auto"/>
            <w:vMerge w:val="restart"/>
            <w:noWrap w:val="0"/>
            <w:tcMar>
              <w:top w:w="15" w:type="dxa"/>
              <w:left w:w="15" w:type="dxa"/>
              <w:bottom w:w="15" w:type="dxa"/>
              <w:right w:w="15" w:type="dxa"/>
            </w:tcMar>
            <w:vAlign w:val="center"/>
          </w:tcPr>
          <w:p w14:paraId="45F2AD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使用</w:t>
            </w:r>
          </w:p>
          <w:p w14:paraId="38044C2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状态</w:t>
            </w:r>
          </w:p>
        </w:tc>
        <w:tc>
          <w:tcPr>
            <w:tcW w:w="0" w:type="auto"/>
            <w:vMerge w:val="restart"/>
            <w:noWrap w:val="0"/>
            <w:tcMar>
              <w:top w:w="15" w:type="dxa"/>
              <w:left w:w="15" w:type="dxa"/>
              <w:bottom w:w="15" w:type="dxa"/>
              <w:right w:w="15" w:type="dxa"/>
            </w:tcMar>
            <w:vAlign w:val="center"/>
          </w:tcPr>
          <w:p w14:paraId="06E1833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管理单位</w:t>
            </w:r>
          </w:p>
        </w:tc>
        <w:tc>
          <w:tcPr>
            <w:tcW w:w="0" w:type="auto"/>
            <w:gridSpan w:val="4"/>
            <w:noWrap w:val="0"/>
            <w:tcMar>
              <w:top w:w="15" w:type="dxa"/>
              <w:left w:w="15" w:type="dxa"/>
              <w:bottom w:w="15" w:type="dxa"/>
              <w:right w:w="15" w:type="dxa"/>
            </w:tcMar>
            <w:vAlign w:val="center"/>
          </w:tcPr>
          <w:p w14:paraId="7EECB58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保护区划分范围</w:t>
            </w:r>
          </w:p>
        </w:tc>
      </w:tr>
      <w:tr w14:paraId="325D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noWrap w:val="0"/>
            <w:tcMar>
              <w:top w:w="15" w:type="dxa"/>
              <w:left w:w="15" w:type="dxa"/>
              <w:bottom w:w="15" w:type="dxa"/>
              <w:right w:w="15" w:type="dxa"/>
            </w:tcMar>
            <w:vAlign w:val="center"/>
          </w:tcPr>
          <w:p w14:paraId="696491A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2801A18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481F188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1EC25F2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071ED5F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5489F7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203DB7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gridSpan w:val="2"/>
            <w:noWrap w:val="0"/>
            <w:tcMar>
              <w:top w:w="15" w:type="dxa"/>
              <w:left w:w="15" w:type="dxa"/>
              <w:bottom w:w="15" w:type="dxa"/>
              <w:right w:w="15" w:type="dxa"/>
            </w:tcMar>
            <w:vAlign w:val="center"/>
          </w:tcPr>
          <w:p w14:paraId="3A04A63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一级保护区</w:t>
            </w:r>
          </w:p>
        </w:tc>
        <w:tc>
          <w:tcPr>
            <w:tcW w:w="0" w:type="auto"/>
            <w:gridSpan w:val="2"/>
            <w:noWrap w:val="0"/>
            <w:tcMar>
              <w:top w:w="15" w:type="dxa"/>
              <w:left w:w="15" w:type="dxa"/>
              <w:bottom w:w="15" w:type="dxa"/>
              <w:right w:w="15" w:type="dxa"/>
            </w:tcMar>
            <w:vAlign w:val="center"/>
          </w:tcPr>
          <w:p w14:paraId="7F634EC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二级保护区</w:t>
            </w:r>
          </w:p>
        </w:tc>
      </w:tr>
      <w:tr w14:paraId="4C1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noWrap w:val="0"/>
            <w:tcMar>
              <w:top w:w="15" w:type="dxa"/>
              <w:left w:w="15" w:type="dxa"/>
              <w:bottom w:w="15" w:type="dxa"/>
              <w:right w:w="15" w:type="dxa"/>
            </w:tcMar>
            <w:vAlign w:val="center"/>
          </w:tcPr>
          <w:p w14:paraId="5CED48E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70AD15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56756D5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7C80347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742911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21517D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02AC215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noWrap w:val="0"/>
            <w:tcMar>
              <w:top w:w="15" w:type="dxa"/>
              <w:left w:w="15" w:type="dxa"/>
              <w:bottom w:w="15" w:type="dxa"/>
              <w:right w:w="15" w:type="dxa"/>
            </w:tcMar>
            <w:vAlign w:val="center"/>
          </w:tcPr>
          <w:p w14:paraId="7F7563F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水域范围</w:t>
            </w:r>
          </w:p>
        </w:tc>
        <w:tc>
          <w:tcPr>
            <w:tcW w:w="0" w:type="auto"/>
            <w:noWrap w:val="0"/>
            <w:tcMar>
              <w:top w:w="15" w:type="dxa"/>
              <w:left w:w="15" w:type="dxa"/>
              <w:bottom w:w="15" w:type="dxa"/>
              <w:right w:w="15" w:type="dxa"/>
            </w:tcMar>
            <w:vAlign w:val="center"/>
          </w:tcPr>
          <w:p w14:paraId="0DE746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陆域范围</w:t>
            </w:r>
          </w:p>
        </w:tc>
        <w:tc>
          <w:tcPr>
            <w:tcW w:w="0" w:type="auto"/>
            <w:noWrap w:val="0"/>
            <w:tcMar>
              <w:top w:w="15" w:type="dxa"/>
              <w:left w:w="15" w:type="dxa"/>
              <w:bottom w:w="15" w:type="dxa"/>
              <w:right w:w="15" w:type="dxa"/>
            </w:tcMar>
            <w:vAlign w:val="center"/>
          </w:tcPr>
          <w:p w14:paraId="77143E5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水域范围</w:t>
            </w:r>
          </w:p>
        </w:tc>
        <w:tc>
          <w:tcPr>
            <w:tcW w:w="0" w:type="auto"/>
            <w:noWrap w:val="0"/>
            <w:tcMar>
              <w:top w:w="15" w:type="dxa"/>
              <w:left w:w="15" w:type="dxa"/>
              <w:bottom w:w="15" w:type="dxa"/>
              <w:right w:w="15" w:type="dxa"/>
            </w:tcMar>
            <w:vAlign w:val="center"/>
          </w:tcPr>
          <w:p w14:paraId="3C96612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陆域范围</w:t>
            </w:r>
          </w:p>
        </w:tc>
      </w:tr>
      <w:tr w14:paraId="1415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noWrap w:val="0"/>
            <w:tcMar>
              <w:top w:w="15" w:type="dxa"/>
              <w:left w:w="15" w:type="dxa"/>
              <w:bottom w:w="15" w:type="dxa"/>
              <w:right w:w="15" w:type="dxa"/>
            </w:tcMar>
            <w:vAlign w:val="center"/>
          </w:tcPr>
          <w:p w14:paraId="25342A6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0" w:type="auto"/>
            <w:shd w:val="clear" w:color="auto" w:fill="auto"/>
            <w:noWrap w:val="0"/>
            <w:tcMar>
              <w:top w:w="15" w:type="dxa"/>
              <w:left w:w="15" w:type="dxa"/>
              <w:bottom w:w="15" w:type="dxa"/>
              <w:right w:w="15" w:type="dxa"/>
            </w:tcMar>
            <w:vAlign w:val="center"/>
          </w:tcPr>
          <w:p w14:paraId="226FB27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开州区温泉镇东河温泉供水站水源地</w:t>
            </w:r>
          </w:p>
        </w:tc>
        <w:tc>
          <w:tcPr>
            <w:tcW w:w="0" w:type="auto"/>
            <w:shd w:val="clear" w:color="auto" w:fill="auto"/>
            <w:noWrap w:val="0"/>
            <w:tcMar>
              <w:top w:w="15" w:type="dxa"/>
              <w:left w:w="15" w:type="dxa"/>
              <w:bottom w:w="15" w:type="dxa"/>
              <w:right w:w="15" w:type="dxa"/>
            </w:tcMar>
            <w:vAlign w:val="center"/>
          </w:tcPr>
          <w:p w14:paraId="321892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东河</w:t>
            </w:r>
          </w:p>
        </w:tc>
        <w:tc>
          <w:tcPr>
            <w:tcW w:w="0" w:type="auto"/>
            <w:shd w:val="clear" w:color="auto" w:fill="auto"/>
            <w:noWrap w:val="0"/>
            <w:tcMar>
              <w:top w:w="15" w:type="dxa"/>
              <w:left w:w="15" w:type="dxa"/>
              <w:bottom w:w="15" w:type="dxa"/>
              <w:right w:w="15" w:type="dxa"/>
            </w:tcMar>
            <w:vAlign w:val="center"/>
          </w:tcPr>
          <w:p w14:paraId="5BF0FB3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河流型</w:t>
            </w:r>
          </w:p>
        </w:tc>
        <w:tc>
          <w:tcPr>
            <w:tcW w:w="0" w:type="auto"/>
            <w:shd w:val="clear" w:color="auto" w:fill="auto"/>
            <w:noWrap w:val="0"/>
            <w:tcMar>
              <w:top w:w="15" w:type="dxa"/>
              <w:left w:w="15" w:type="dxa"/>
              <w:bottom w:w="15" w:type="dxa"/>
              <w:right w:w="15" w:type="dxa"/>
            </w:tcMar>
            <w:vAlign w:val="center"/>
          </w:tcPr>
          <w:p w14:paraId="1A14B5F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温泉镇</w:t>
            </w:r>
          </w:p>
        </w:tc>
        <w:tc>
          <w:tcPr>
            <w:tcW w:w="0" w:type="auto"/>
            <w:shd w:val="clear" w:color="auto" w:fill="auto"/>
            <w:noWrap w:val="0"/>
            <w:tcMar>
              <w:top w:w="15" w:type="dxa"/>
              <w:left w:w="15" w:type="dxa"/>
              <w:bottom w:w="15" w:type="dxa"/>
              <w:right w:w="15" w:type="dxa"/>
            </w:tcMar>
            <w:vAlign w:val="center"/>
          </w:tcPr>
          <w:p w14:paraId="33969D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正常</w:t>
            </w:r>
          </w:p>
        </w:tc>
        <w:tc>
          <w:tcPr>
            <w:tcW w:w="0" w:type="auto"/>
            <w:shd w:val="clear" w:color="auto" w:fill="auto"/>
            <w:noWrap w:val="0"/>
            <w:tcMar>
              <w:top w:w="15" w:type="dxa"/>
              <w:left w:w="15" w:type="dxa"/>
              <w:bottom w:w="15" w:type="dxa"/>
              <w:right w:w="15" w:type="dxa"/>
            </w:tcMar>
            <w:vAlign w:val="center"/>
          </w:tcPr>
          <w:p w14:paraId="3B71D6E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温泉水厂</w:t>
            </w:r>
          </w:p>
        </w:tc>
        <w:tc>
          <w:tcPr>
            <w:tcW w:w="0" w:type="auto"/>
            <w:shd w:val="clear" w:color="auto" w:fill="auto"/>
            <w:noWrap w:val="0"/>
            <w:tcMar>
              <w:top w:w="15" w:type="dxa"/>
              <w:left w:w="15" w:type="dxa"/>
              <w:bottom w:w="15" w:type="dxa"/>
              <w:right w:w="15" w:type="dxa"/>
            </w:tcMar>
            <w:vAlign w:val="center"/>
          </w:tcPr>
          <w:p w14:paraId="5163D02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取水口上游1000米至下游100米的整个水域</w:t>
            </w:r>
          </w:p>
        </w:tc>
        <w:tc>
          <w:tcPr>
            <w:tcW w:w="0" w:type="auto"/>
            <w:shd w:val="clear" w:color="auto" w:fill="auto"/>
            <w:noWrap w:val="0"/>
            <w:tcMar>
              <w:top w:w="15" w:type="dxa"/>
              <w:left w:w="15" w:type="dxa"/>
              <w:bottom w:w="15" w:type="dxa"/>
              <w:right w:w="15" w:type="dxa"/>
            </w:tcMar>
            <w:vAlign w:val="center"/>
          </w:tcPr>
          <w:p w14:paraId="32251D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30年一遇洪水位至正常水位范围内的陆域，陆域沿岸长度与一级保护区水域长度相同</w:t>
            </w:r>
          </w:p>
        </w:tc>
        <w:tc>
          <w:tcPr>
            <w:tcW w:w="0" w:type="auto"/>
            <w:shd w:val="clear" w:color="auto" w:fill="auto"/>
            <w:noWrap w:val="0"/>
            <w:tcMar>
              <w:top w:w="15" w:type="dxa"/>
              <w:left w:w="15" w:type="dxa"/>
              <w:bottom w:w="15" w:type="dxa"/>
              <w:right w:w="15" w:type="dxa"/>
            </w:tcMar>
            <w:vAlign w:val="center"/>
          </w:tcPr>
          <w:p w14:paraId="6B176D9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取水口上游1000米至2000米，下游100米至200米的整个水域</w:t>
            </w:r>
          </w:p>
        </w:tc>
        <w:tc>
          <w:tcPr>
            <w:tcW w:w="0" w:type="auto"/>
            <w:shd w:val="clear" w:color="auto" w:fill="auto"/>
            <w:noWrap w:val="0"/>
            <w:tcMar>
              <w:top w:w="15" w:type="dxa"/>
              <w:left w:w="15" w:type="dxa"/>
              <w:bottom w:w="15" w:type="dxa"/>
              <w:right w:w="15" w:type="dxa"/>
            </w:tcMar>
            <w:vAlign w:val="center"/>
          </w:tcPr>
          <w:p w14:paraId="50CDD5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30年一遇洪水位至正常水位范围内的陆域，陆域沿岸长度与二级保护区水域长度相同</w:t>
            </w:r>
          </w:p>
        </w:tc>
      </w:tr>
      <w:tr w14:paraId="07F9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37363AE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0" w:type="auto"/>
            <w:shd w:val="clear" w:color="auto" w:fill="auto"/>
            <w:vAlign w:val="center"/>
          </w:tcPr>
          <w:p w14:paraId="0FA4142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开州区温泉镇东河温泉场镇集中供水工程水源地</w:t>
            </w:r>
          </w:p>
        </w:tc>
        <w:tc>
          <w:tcPr>
            <w:tcW w:w="0" w:type="auto"/>
            <w:shd w:val="clear" w:color="auto" w:fill="auto"/>
            <w:vAlign w:val="center"/>
          </w:tcPr>
          <w:p w14:paraId="0003860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东河</w:t>
            </w:r>
          </w:p>
        </w:tc>
        <w:tc>
          <w:tcPr>
            <w:tcW w:w="0" w:type="auto"/>
            <w:shd w:val="clear" w:color="auto" w:fill="auto"/>
            <w:vAlign w:val="center"/>
          </w:tcPr>
          <w:p w14:paraId="0442B7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河流型</w:t>
            </w:r>
          </w:p>
        </w:tc>
        <w:tc>
          <w:tcPr>
            <w:tcW w:w="0" w:type="auto"/>
            <w:shd w:val="clear" w:color="auto" w:fill="auto"/>
            <w:vAlign w:val="center"/>
          </w:tcPr>
          <w:p w14:paraId="59EC3A7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温泉镇</w:t>
            </w:r>
          </w:p>
        </w:tc>
        <w:tc>
          <w:tcPr>
            <w:tcW w:w="0" w:type="auto"/>
            <w:shd w:val="clear" w:color="auto" w:fill="auto"/>
            <w:vAlign w:val="center"/>
          </w:tcPr>
          <w:p w14:paraId="6BF2E8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正常</w:t>
            </w:r>
          </w:p>
        </w:tc>
        <w:tc>
          <w:tcPr>
            <w:tcW w:w="0" w:type="auto"/>
            <w:shd w:val="clear" w:color="auto" w:fill="auto"/>
            <w:vAlign w:val="center"/>
          </w:tcPr>
          <w:p w14:paraId="2F56B7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温泉水厂</w:t>
            </w:r>
          </w:p>
        </w:tc>
        <w:tc>
          <w:tcPr>
            <w:tcW w:w="0" w:type="auto"/>
            <w:shd w:val="clear" w:color="auto" w:fill="auto"/>
            <w:vAlign w:val="center"/>
          </w:tcPr>
          <w:p w14:paraId="4729C6B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取水口上游1000米至下游100米的整个水域</w:t>
            </w:r>
          </w:p>
        </w:tc>
        <w:tc>
          <w:tcPr>
            <w:tcW w:w="0" w:type="auto"/>
            <w:shd w:val="clear" w:color="auto" w:fill="auto"/>
            <w:vAlign w:val="center"/>
          </w:tcPr>
          <w:p w14:paraId="09FA631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河道两侧30年一遇洪水位至正常水位范围内的陆域，陆域沿岸长度与一级保护区水域长度相同</w:t>
            </w:r>
          </w:p>
        </w:tc>
        <w:tc>
          <w:tcPr>
            <w:tcW w:w="0" w:type="auto"/>
            <w:shd w:val="clear" w:color="auto" w:fill="auto"/>
            <w:vAlign w:val="center"/>
          </w:tcPr>
          <w:p w14:paraId="15ACB3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取水口上游1000米至3000米，下游100米至300米的整个水域</w:t>
            </w:r>
          </w:p>
        </w:tc>
        <w:tc>
          <w:tcPr>
            <w:tcW w:w="0" w:type="auto"/>
            <w:shd w:val="clear" w:color="auto" w:fill="auto"/>
            <w:vAlign w:val="center"/>
          </w:tcPr>
          <w:p w14:paraId="4EE1E0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河道两侧30年一遇洪水位至正常水位范围内的陆域，陆域沿岸长度与二级保护区水域长度相同</w:t>
            </w:r>
          </w:p>
        </w:tc>
      </w:tr>
    </w:tbl>
    <w:p w14:paraId="1C600E24">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0" w:name="_Toc12038"/>
      <w:r>
        <w:rPr>
          <w:rFonts w:hint="eastAsia" w:ascii="宋体" w:hAnsi="宋体" w:eastAsia="宋体" w:cs="宋体"/>
          <w:b/>
          <w:bCs/>
          <w:color w:val="auto"/>
          <w:kern w:val="2"/>
          <w:sz w:val="32"/>
          <w:szCs w:val="32"/>
          <w:lang w:val="en-US" w:eastAsia="zh-CN" w:bidi="ar-SA"/>
        </w:rPr>
        <w:t>2.3 饮用水水源地规范化建设现状调查</w:t>
      </w:r>
      <w:bookmarkEnd w:id="30"/>
    </w:p>
    <w:p w14:paraId="44E13C8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50124AA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开州区温泉镇东河温泉供水站水源地已根据《饮用水水源保护区标志技术要求（HJ／T_433-2008）》的要求设置一级、二级保护区边界标志牌；隔离防护栏等。</w:t>
      </w:r>
    </w:p>
    <w:p w14:paraId="293B58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 2.3-1 温泉镇水源地保护区标志、隔离防护措施 </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54"/>
        <w:gridCol w:w="5846"/>
      </w:tblGrid>
      <w:tr w14:paraId="0CCD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658" w:type="dxa"/>
            <w:gridSpan w:val="2"/>
            <w:noWrap w:val="0"/>
            <w:vAlign w:val="center"/>
          </w:tcPr>
          <w:p w14:paraId="268490E1">
            <w:pPr>
              <w:bidi w:val="0"/>
              <w:jc w:val="center"/>
              <w:rPr>
                <w:rFonts w:hint="eastAsia"/>
                <w:b/>
                <w:bCs/>
                <w:lang w:val="en-US" w:eastAsia="zh-CN"/>
              </w:rPr>
            </w:pPr>
            <w:r>
              <w:rPr>
                <w:rFonts w:hint="eastAsia"/>
                <w:b/>
                <w:bCs/>
                <w:lang w:val="en-US" w:eastAsia="zh-CN"/>
              </w:rPr>
              <w:t>水源地</w:t>
            </w:r>
          </w:p>
        </w:tc>
        <w:tc>
          <w:tcPr>
            <w:tcW w:w="5846" w:type="dxa"/>
            <w:noWrap w:val="0"/>
            <w:vAlign w:val="center"/>
          </w:tcPr>
          <w:p w14:paraId="16D46A91">
            <w:pPr>
              <w:bidi w:val="0"/>
              <w:jc w:val="center"/>
              <w:rPr>
                <w:rFonts w:hint="default"/>
                <w:b/>
                <w:bCs/>
                <w:lang w:val="en-US"/>
              </w:rPr>
            </w:pPr>
            <w:r>
              <w:rPr>
                <w:rFonts w:hint="eastAsia"/>
                <w:b/>
                <w:bCs/>
                <w:lang w:val="en-US" w:eastAsia="zh-CN"/>
              </w:rPr>
              <w:t>保护区</w:t>
            </w:r>
            <w:r>
              <w:rPr>
                <w:rFonts w:hint="eastAsia"/>
                <w:b/>
                <w:bCs/>
              </w:rPr>
              <w:t>标志、隔离防护</w:t>
            </w:r>
            <w:r>
              <w:rPr>
                <w:rFonts w:hint="eastAsia"/>
                <w:b/>
                <w:bCs/>
                <w:lang w:val="en-US" w:eastAsia="zh-CN"/>
              </w:rPr>
              <w:t>措施照片</w:t>
            </w:r>
          </w:p>
        </w:tc>
      </w:tr>
      <w:tr w14:paraId="5826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6" w:hRule="atLeast"/>
          <w:tblHeader/>
          <w:jc w:val="center"/>
        </w:trPr>
        <w:tc>
          <w:tcPr>
            <w:tcW w:w="1104" w:type="dxa"/>
            <w:vMerge w:val="restart"/>
            <w:noWrap w:val="0"/>
            <w:vAlign w:val="center"/>
          </w:tcPr>
          <w:p w14:paraId="0E662C80">
            <w:pPr>
              <w:bidi w:val="0"/>
              <w:rPr>
                <w:rFonts w:hint="default"/>
                <w:lang w:val="en-US" w:eastAsia="zh-CN"/>
              </w:rPr>
            </w:pPr>
            <w:r>
              <w:rPr>
                <w:rFonts w:hint="eastAsia"/>
                <w:lang w:val="en-US" w:eastAsia="zh-CN"/>
              </w:rPr>
              <w:t>开州区温泉镇东河温泉供水站水源地</w:t>
            </w:r>
          </w:p>
        </w:tc>
        <w:tc>
          <w:tcPr>
            <w:tcW w:w="1554" w:type="dxa"/>
            <w:noWrap w:val="0"/>
            <w:vAlign w:val="center"/>
          </w:tcPr>
          <w:p w14:paraId="2EA9E2E2">
            <w:pPr>
              <w:bidi w:val="0"/>
              <w:rPr>
                <w:rFonts w:hint="eastAsia"/>
                <w:lang w:val="en-US" w:eastAsia="zh-CN"/>
              </w:rPr>
            </w:pPr>
            <w:r>
              <w:rPr>
                <w:rFonts w:hint="eastAsia"/>
                <w:lang w:val="en-US" w:eastAsia="zh-CN"/>
              </w:rPr>
              <w:t>一级保护区标识</w:t>
            </w:r>
          </w:p>
        </w:tc>
        <w:tc>
          <w:tcPr>
            <w:tcW w:w="5846" w:type="dxa"/>
            <w:noWrap w:val="0"/>
            <w:vAlign w:val="center"/>
          </w:tcPr>
          <w:p w14:paraId="7D28A486">
            <w:pPr>
              <w:bidi w:val="0"/>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79375</wp:posOffset>
                  </wp:positionH>
                  <wp:positionV relativeFrom="paragraph">
                    <wp:posOffset>-6350</wp:posOffset>
                  </wp:positionV>
                  <wp:extent cx="3456305" cy="3402330"/>
                  <wp:effectExtent l="0" t="0" r="10795" b="7620"/>
                  <wp:wrapTopAndBottom/>
                  <wp:docPr id="6" name="图片 6" descr="IMG_20251011_1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1011_103013"/>
                          <pic:cNvPicPr>
                            <a:picLocks noChangeAspect="1"/>
                          </pic:cNvPicPr>
                        </pic:nvPicPr>
                        <pic:blipFill>
                          <a:blip r:embed="rId11"/>
                          <a:stretch>
                            <a:fillRect/>
                          </a:stretch>
                        </pic:blipFill>
                        <pic:spPr>
                          <a:xfrm>
                            <a:off x="0" y="0"/>
                            <a:ext cx="3456305" cy="3402330"/>
                          </a:xfrm>
                          <a:prstGeom prst="rect">
                            <a:avLst/>
                          </a:prstGeom>
                        </pic:spPr>
                      </pic:pic>
                    </a:graphicData>
                  </a:graphic>
                </wp:anchor>
              </w:drawing>
            </w:r>
          </w:p>
        </w:tc>
      </w:tr>
      <w:tr w14:paraId="6A28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tblHeader/>
          <w:jc w:val="center"/>
        </w:trPr>
        <w:tc>
          <w:tcPr>
            <w:tcW w:w="1104" w:type="dxa"/>
            <w:vMerge w:val="continue"/>
            <w:noWrap w:val="0"/>
            <w:vAlign w:val="center"/>
          </w:tcPr>
          <w:p w14:paraId="7BB5A1E7">
            <w:pPr>
              <w:bidi w:val="0"/>
              <w:rPr>
                <w:rFonts w:hint="default"/>
                <w:lang w:val="en-US" w:eastAsia="zh-CN"/>
              </w:rPr>
            </w:pPr>
          </w:p>
        </w:tc>
        <w:tc>
          <w:tcPr>
            <w:tcW w:w="1554" w:type="dxa"/>
            <w:noWrap w:val="0"/>
            <w:vAlign w:val="center"/>
          </w:tcPr>
          <w:p w14:paraId="43DC4C37">
            <w:pPr>
              <w:bidi w:val="0"/>
              <w:rPr>
                <w:rFonts w:hint="default"/>
                <w:lang w:val="en-US" w:eastAsia="zh-CN"/>
              </w:rPr>
            </w:pPr>
            <w:r>
              <w:rPr>
                <w:rFonts w:hint="eastAsia"/>
                <w:lang w:val="en-US" w:eastAsia="zh-CN"/>
              </w:rPr>
              <w:t>取水口标识</w:t>
            </w:r>
          </w:p>
        </w:tc>
        <w:tc>
          <w:tcPr>
            <w:tcW w:w="5846" w:type="dxa"/>
            <w:noWrap w:val="0"/>
            <w:vAlign w:val="center"/>
          </w:tcPr>
          <w:p w14:paraId="3348D0C9">
            <w:pPr>
              <w:bidi w:val="0"/>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146050</wp:posOffset>
                  </wp:positionV>
                  <wp:extent cx="3566160" cy="2674620"/>
                  <wp:effectExtent l="0" t="0" r="15240" b="11430"/>
                  <wp:wrapTopAndBottom/>
                  <wp:docPr id="7" name="图片 7" descr="IMG_20251011_1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1011_103132"/>
                          <pic:cNvPicPr>
                            <a:picLocks noChangeAspect="1"/>
                          </pic:cNvPicPr>
                        </pic:nvPicPr>
                        <pic:blipFill>
                          <a:blip r:embed="rId12"/>
                          <a:stretch>
                            <a:fillRect/>
                          </a:stretch>
                        </pic:blipFill>
                        <pic:spPr>
                          <a:xfrm>
                            <a:off x="0" y="0"/>
                            <a:ext cx="3566160" cy="2674620"/>
                          </a:xfrm>
                          <a:prstGeom prst="rect">
                            <a:avLst/>
                          </a:prstGeom>
                        </pic:spPr>
                      </pic:pic>
                    </a:graphicData>
                  </a:graphic>
                </wp:anchor>
              </w:drawing>
            </w:r>
          </w:p>
        </w:tc>
      </w:tr>
      <w:tr w14:paraId="7B28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074BD34F">
            <w:pPr>
              <w:bidi w:val="0"/>
              <w:rPr>
                <w:rFonts w:hint="eastAsia"/>
                <w:lang w:val="en-US" w:eastAsia="zh-CN"/>
              </w:rPr>
            </w:pPr>
          </w:p>
        </w:tc>
        <w:tc>
          <w:tcPr>
            <w:tcW w:w="1554" w:type="dxa"/>
            <w:noWrap w:val="0"/>
            <w:vAlign w:val="center"/>
          </w:tcPr>
          <w:p w14:paraId="15B0005A">
            <w:pPr>
              <w:bidi w:val="0"/>
              <w:rPr>
                <w:rFonts w:hint="default"/>
                <w:lang w:val="en-US" w:eastAsia="zh-CN"/>
              </w:rPr>
            </w:pPr>
            <w:r>
              <w:rPr>
                <w:rFonts w:hint="eastAsia"/>
                <w:lang w:val="en-US" w:eastAsia="zh-CN"/>
              </w:rPr>
              <w:t>取水口位置</w:t>
            </w:r>
          </w:p>
        </w:tc>
        <w:tc>
          <w:tcPr>
            <w:tcW w:w="5846" w:type="dxa"/>
            <w:noWrap w:val="0"/>
            <w:vAlign w:val="center"/>
          </w:tcPr>
          <w:p w14:paraId="34670EB9">
            <w:pPr>
              <w:bidi w:val="0"/>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88900</wp:posOffset>
                  </wp:positionV>
                  <wp:extent cx="3569970" cy="3569335"/>
                  <wp:effectExtent l="0" t="0" r="11430" b="12065"/>
                  <wp:wrapTopAndBottom/>
                  <wp:docPr id="8" name="图片 8" descr="IMG_20251011_10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1011_104250"/>
                          <pic:cNvPicPr>
                            <a:picLocks noChangeAspect="1"/>
                          </pic:cNvPicPr>
                        </pic:nvPicPr>
                        <pic:blipFill>
                          <a:blip r:embed="rId13"/>
                          <a:stretch>
                            <a:fillRect/>
                          </a:stretch>
                        </pic:blipFill>
                        <pic:spPr>
                          <a:xfrm>
                            <a:off x="0" y="0"/>
                            <a:ext cx="3569970" cy="3569335"/>
                          </a:xfrm>
                          <a:prstGeom prst="rect">
                            <a:avLst/>
                          </a:prstGeom>
                        </pic:spPr>
                      </pic:pic>
                    </a:graphicData>
                  </a:graphic>
                </wp:anchor>
              </w:drawing>
            </w:r>
          </w:p>
        </w:tc>
      </w:tr>
      <w:tr w14:paraId="15CF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noWrap w:val="0"/>
            <w:vAlign w:val="center"/>
          </w:tcPr>
          <w:p w14:paraId="35B3EC28">
            <w:pPr>
              <w:bidi w:val="0"/>
              <w:rPr>
                <w:rFonts w:hint="eastAsia"/>
                <w:lang w:val="en-US" w:eastAsia="zh-CN"/>
              </w:rPr>
            </w:pPr>
            <w:r>
              <w:rPr>
                <w:rFonts w:hint="eastAsia"/>
                <w:lang w:val="en-US" w:eastAsia="zh-CN"/>
              </w:rPr>
              <w:t>开州区温泉镇东河温泉供水站水源地</w:t>
            </w:r>
          </w:p>
        </w:tc>
        <w:tc>
          <w:tcPr>
            <w:tcW w:w="1554" w:type="dxa"/>
            <w:noWrap w:val="0"/>
            <w:vAlign w:val="center"/>
          </w:tcPr>
          <w:p w14:paraId="1316C06D">
            <w:pPr>
              <w:bidi w:val="0"/>
              <w:rPr>
                <w:rFonts w:hint="default"/>
                <w:lang w:val="en-US" w:eastAsia="zh-CN"/>
              </w:rPr>
            </w:pPr>
            <w:r>
              <w:rPr>
                <w:rFonts w:hint="eastAsia"/>
                <w:lang w:val="en-US" w:eastAsia="zh-CN"/>
              </w:rPr>
              <w:t>取水点监控摄像头</w:t>
            </w:r>
          </w:p>
        </w:tc>
        <w:tc>
          <w:tcPr>
            <w:tcW w:w="5846" w:type="dxa"/>
            <w:noWrap w:val="0"/>
            <w:vAlign w:val="center"/>
          </w:tcPr>
          <w:p w14:paraId="0B0579FB">
            <w:pPr>
              <w:bidi w:val="0"/>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98425</wp:posOffset>
                  </wp:positionV>
                  <wp:extent cx="3566160" cy="4431665"/>
                  <wp:effectExtent l="0" t="0" r="15240" b="6985"/>
                  <wp:wrapTopAndBottom/>
                  <wp:docPr id="9" name="图片 9" descr="IMG_20251011_10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1011_103144"/>
                          <pic:cNvPicPr>
                            <a:picLocks noChangeAspect="1"/>
                          </pic:cNvPicPr>
                        </pic:nvPicPr>
                        <pic:blipFill>
                          <a:blip r:embed="rId14"/>
                          <a:stretch>
                            <a:fillRect/>
                          </a:stretch>
                        </pic:blipFill>
                        <pic:spPr>
                          <a:xfrm>
                            <a:off x="0" y="0"/>
                            <a:ext cx="3566160" cy="4431665"/>
                          </a:xfrm>
                          <a:prstGeom prst="rect">
                            <a:avLst/>
                          </a:prstGeom>
                        </pic:spPr>
                      </pic:pic>
                    </a:graphicData>
                  </a:graphic>
                </wp:anchor>
              </w:drawing>
            </w:r>
          </w:p>
        </w:tc>
      </w:tr>
      <w:tr w14:paraId="189A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noWrap w:val="0"/>
            <w:vAlign w:val="center"/>
          </w:tcPr>
          <w:p w14:paraId="016A1CDB">
            <w:pPr>
              <w:bidi w:val="0"/>
              <w:rPr>
                <w:rFonts w:hint="eastAsia"/>
                <w:lang w:val="en-US" w:eastAsia="zh-CN"/>
              </w:rPr>
            </w:pPr>
          </w:p>
        </w:tc>
        <w:tc>
          <w:tcPr>
            <w:tcW w:w="1554" w:type="dxa"/>
            <w:noWrap w:val="0"/>
            <w:vAlign w:val="center"/>
          </w:tcPr>
          <w:p w14:paraId="6B1ED47D">
            <w:pPr>
              <w:bidi w:val="0"/>
              <w:rPr>
                <w:rFonts w:hint="default"/>
                <w:lang w:val="en-US" w:eastAsia="zh-CN"/>
              </w:rPr>
            </w:pPr>
            <w:r>
              <w:rPr>
                <w:rFonts w:hint="eastAsia"/>
                <w:lang w:val="en-US" w:eastAsia="zh-CN"/>
              </w:rPr>
              <w:t>饮用水保护范围示意图</w:t>
            </w:r>
          </w:p>
        </w:tc>
        <w:tc>
          <w:tcPr>
            <w:tcW w:w="5846" w:type="dxa"/>
            <w:noWrap w:val="0"/>
            <w:vAlign w:val="center"/>
          </w:tcPr>
          <w:p w14:paraId="4772B9FF">
            <w:pPr>
              <w:bidi w:val="0"/>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-3245485</wp:posOffset>
                  </wp:positionV>
                  <wp:extent cx="3569970" cy="4759960"/>
                  <wp:effectExtent l="0" t="0" r="11430" b="2540"/>
                  <wp:wrapTopAndBottom/>
                  <wp:docPr id="10" name="图片 10" descr="IMG_20251011_10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1011_103605"/>
                          <pic:cNvPicPr>
                            <a:picLocks noChangeAspect="1"/>
                          </pic:cNvPicPr>
                        </pic:nvPicPr>
                        <pic:blipFill>
                          <a:blip r:embed="rId15"/>
                          <a:stretch>
                            <a:fillRect/>
                          </a:stretch>
                        </pic:blipFill>
                        <pic:spPr>
                          <a:xfrm>
                            <a:off x="0" y="0"/>
                            <a:ext cx="3569970" cy="4759960"/>
                          </a:xfrm>
                          <a:prstGeom prst="rect">
                            <a:avLst/>
                          </a:prstGeom>
                        </pic:spPr>
                      </pic:pic>
                    </a:graphicData>
                  </a:graphic>
                </wp:anchor>
              </w:drawing>
            </w:r>
          </w:p>
        </w:tc>
      </w:tr>
    </w:tbl>
    <w:p w14:paraId="492AB38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（2）饮用水源地保护区重点保护工程情况</w:t>
      </w:r>
    </w:p>
    <w:p w14:paraId="5A4EFE4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469B7E8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温泉镇东河温泉供水站水源地、开州区温泉镇东河温泉场镇集中供水工程水源地已根据《饮用水水源保护区标志技术要求（HJ／T_433-2008）》的要求设置一级、二级保护区边界界标、界桩等。设置道路警示牌；在水源地周边均设置保护区宣传牌，水源地人为活动较少，有部分可利用的天然地形地貌隔离，并设置明显的具有保护性功能的隔离防护措施。开州区温泉镇东河温泉供水站水源地、开州区温泉镇东河温泉场镇集中供水工程水源地取水口都位于山脚，人员不易靠近。2020年，开州区温泉镇东河温泉场镇集中供水工程水源地投入运营，相关边界界标，道路警示牌，保护区宣传牌等将进一步完善。</w:t>
      </w:r>
    </w:p>
    <w:p w14:paraId="6B8C34E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2）监控能力建设情况</w:t>
      </w:r>
    </w:p>
    <w:p w14:paraId="78211DC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w:t>
      </w:r>
      <w:r>
        <w:rPr>
          <w:rFonts w:hint="eastAsia" w:cs="宋体"/>
          <w:color w:val="auto"/>
          <w:sz w:val="28"/>
          <w:szCs w:val="28"/>
          <w:lang w:val="en-US" w:eastAsia="zh-CN"/>
        </w:rPr>
        <w:t>下游</w:t>
      </w:r>
      <w:r>
        <w:rPr>
          <w:rFonts w:hint="eastAsia" w:ascii="宋体" w:hAnsi="宋体" w:eastAsia="宋体" w:cs="宋体"/>
          <w:color w:val="auto"/>
          <w:sz w:val="28"/>
          <w:szCs w:val="28"/>
          <w:lang w:val="en-US" w:eastAsia="zh-CN"/>
        </w:rPr>
        <w:t>设置有监测断面，由重庆市开州区生态环境监测中心对设置断面水质进行定期监测。</w:t>
      </w:r>
    </w:p>
    <w:p w14:paraId="61EB63C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根据现场调查，水源地在取水口处设置有视频监控。</w:t>
      </w:r>
    </w:p>
    <w:p w14:paraId="06AF636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3）风险防控与应急能力建设情况</w:t>
      </w:r>
    </w:p>
    <w:p w14:paraId="5EF772E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①风险识别与防范</w:t>
      </w:r>
    </w:p>
    <w:p w14:paraId="0C4F92C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开州区温泉镇东河温泉供水站水源地、开州区温泉镇东河温泉场镇集中供水工程水源地上游及周边存在风险源，主要包括农村居民生活、农田灌溉、家禽养殖等，水源地尚未建立风险源名录和危险化学品运输管理制度。</w:t>
      </w:r>
    </w:p>
    <w:p w14:paraId="7FD17B1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②应急能力</w:t>
      </w:r>
    </w:p>
    <w:p w14:paraId="2D552C0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据调查了解，开州区温泉镇东河温泉供水站水源地、开州区温泉镇东河温泉场镇集中供水工程水源地已具备应急预案、救济物资、技术储备、应急防护工程设施、应急专家队伍等相应应急能力。</w:t>
      </w:r>
    </w:p>
    <w:p w14:paraId="524C993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4）水源地一源一档建设</w:t>
      </w:r>
    </w:p>
    <w:p w14:paraId="144CCC8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据调查了解，该水源地已进行资料汇编，建立《重庆市开州区温泉水厂饮用水水源地一源一档》。</w:t>
      </w:r>
    </w:p>
    <w:p w14:paraId="08A8D0F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汇编资料如下表所示。</w:t>
      </w:r>
      <w:bookmarkStart w:id="31" w:name="_Ref524336654"/>
    </w:p>
    <w:p w14:paraId="6C3FDDE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w:t>
      </w:r>
      <w:bookmarkEnd w:id="31"/>
      <w:r>
        <w:rPr>
          <w:rFonts w:hint="eastAsia" w:ascii="宋体" w:hAnsi="宋体" w:eastAsia="宋体" w:cs="宋体"/>
          <w:color w:val="auto"/>
          <w:sz w:val="28"/>
          <w:szCs w:val="28"/>
          <w:lang w:val="en-US" w:eastAsia="zh-CN"/>
        </w:rPr>
        <w:t xml:space="preserve"> 2.3-2 开州区温泉镇东河温泉供水站水源地一源一档资料</w:t>
      </w:r>
    </w:p>
    <w:tbl>
      <w:tblPr>
        <w:tblStyle w:val="14"/>
        <w:tblW w:w="850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5"/>
        <w:gridCol w:w="5429"/>
        <w:gridCol w:w="2380"/>
      </w:tblGrid>
      <w:tr w14:paraId="26C2F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0" w:type="dxa"/>
            <w:noWrap w:val="0"/>
            <w:vAlign w:val="center"/>
          </w:tcPr>
          <w:p w14:paraId="7EF7AA3D">
            <w:pPr>
              <w:bidi w:val="0"/>
            </w:pPr>
            <w:r>
              <w:t>序号</w:t>
            </w:r>
          </w:p>
        </w:tc>
        <w:tc>
          <w:tcPr>
            <w:tcW w:w="5596" w:type="dxa"/>
            <w:noWrap w:val="0"/>
            <w:vAlign w:val="center"/>
          </w:tcPr>
          <w:p w14:paraId="173C6C2B">
            <w:pPr>
              <w:bidi w:val="0"/>
            </w:pPr>
            <w:r>
              <w:t>文件材料题名</w:t>
            </w:r>
          </w:p>
        </w:tc>
        <w:tc>
          <w:tcPr>
            <w:tcW w:w="2449" w:type="dxa"/>
            <w:noWrap w:val="0"/>
            <w:vAlign w:val="center"/>
          </w:tcPr>
          <w:p w14:paraId="16FAC2D2">
            <w:pPr>
              <w:bidi w:val="0"/>
            </w:pPr>
            <w:r>
              <w:t>备注</w:t>
            </w:r>
          </w:p>
        </w:tc>
      </w:tr>
      <w:tr w14:paraId="6DDF3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BAFBFDA">
            <w:pPr>
              <w:bidi w:val="0"/>
            </w:pPr>
            <w:r>
              <w:t>1</w:t>
            </w:r>
          </w:p>
        </w:tc>
        <w:tc>
          <w:tcPr>
            <w:tcW w:w="5596" w:type="dxa"/>
            <w:noWrap w:val="0"/>
            <w:vAlign w:val="center"/>
          </w:tcPr>
          <w:p w14:paraId="0FD8B9F8">
            <w:pPr>
              <w:bidi w:val="0"/>
            </w:pPr>
            <w:r>
              <w:t>《重庆市人民政府办公厅关于调整万州区等36个区县（自治县）集中式饮用水水源保护区的通知》</w:t>
            </w:r>
          </w:p>
        </w:tc>
        <w:tc>
          <w:tcPr>
            <w:tcW w:w="2449" w:type="dxa"/>
            <w:noWrap w:val="0"/>
            <w:vAlign w:val="center"/>
          </w:tcPr>
          <w:p w14:paraId="0685D354">
            <w:pPr>
              <w:bidi w:val="0"/>
            </w:pPr>
            <w:r>
              <w:t>渝府办[2016]19号</w:t>
            </w:r>
          </w:p>
        </w:tc>
      </w:tr>
      <w:tr w14:paraId="1E8E9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47B1677">
            <w:pPr>
              <w:bidi w:val="0"/>
            </w:pPr>
            <w:r>
              <w:t>2</w:t>
            </w:r>
          </w:p>
        </w:tc>
        <w:tc>
          <w:tcPr>
            <w:tcW w:w="5596" w:type="dxa"/>
            <w:noWrap w:val="0"/>
            <w:vAlign w:val="center"/>
          </w:tcPr>
          <w:p w14:paraId="49E93EDD">
            <w:pPr>
              <w:bidi w:val="0"/>
            </w:pPr>
            <w:r>
              <w:t>《</w:t>
            </w:r>
            <w:r>
              <w:rPr>
                <w:rFonts w:hint="eastAsia"/>
              </w:rPr>
              <w:t>重庆市人民政府办公厅关于 印发万州区等区县（开发区）集中式饮用水水源地保护区划分及调整方案的通知</w:t>
            </w:r>
            <w:r>
              <w:t>》</w:t>
            </w:r>
          </w:p>
        </w:tc>
        <w:tc>
          <w:tcPr>
            <w:tcW w:w="2449" w:type="dxa"/>
            <w:noWrap w:val="0"/>
            <w:vAlign w:val="center"/>
          </w:tcPr>
          <w:p w14:paraId="729614AD">
            <w:pPr>
              <w:bidi w:val="0"/>
            </w:pPr>
            <w:r>
              <w:rPr>
                <w:rFonts w:hint="eastAsia"/>
              </w:rPr>
              <w:t>渝府办[2018]7号</w:t>
            </w:r>
          </w:p>
        </w:tc>
      </w:tr>
      <w:tr w14:paraId="0295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65580C8C">
            <w:pPr>
              <w:bidi w:val="0"/>
            </w:pPr>
            <w:r>
              <w:t>3</w:t>
            </w:r>
          </w:p>
        </w:tc>
        <w:tc>
          <w:tcPr>
            <w:tcW w:w="5596" w:type="dxa"/>
            <w:noWrap w:val="0"/>
            <w:vAlign w:val="center"/>
          </w:tcPr>
          <w:p w14:paraId="4620F38C">
            <w:pPr>
              <w:bidi w:val="0"/>
            </w:pPr>
            <w:r>
              <w:rPr>
                <w:rFonts w:hint="eastAsia"/>
              </w:rPr>
              <w:t>《重庆市开州区环境保护局关于进一步加强乡镇集中式饮用水水源地管理的通知》</w:t>
            </w:r>
          </w:p>
        </w:tc>
        <w:tc>
          <w:tcPr>
            <w:tcW w:w="2449" w:type="dxa"/>
            <w:noWrap w:val="0"/>
            <w:vAlign w:val="center"/>
          </w:tcPr>
          <w:p w14:paraId="3E1BAB4D">
            <w:pPr>
              <w:bidi w:val="0"/>
            </w:pPr>
            <w:r>
              <w:t>开州环发〔2017〕75号</w:t>
            </w:r>
          </w:p>
        </w:tc>
      </w:tr>
      <w:tr w14:paraId="7EB8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63A4CBEC">
            <w:pPr>
              <w:bidi w:val="0"/>
            </w:pPr>
            <w:r>
              <w:t>4</w:t>
            </w:r>
          </w:p>
        </w:tc>
        <w:tc>
          <w:tcPr>
            <w:tcW w:w="5596" w:type="dxa"/>
            <w:noWrap w:val="0"/>
            <w:vAlign w:val="center"/>
          </w:tcPr>
          <w:p w14:paraId="42D3E3EB">
            <w:pPr>
              <w:bidi w:val="0"/>
            </w:pPr>
            <w:r>
              <w:t>重庆市</w:t>
            </w:r>
            <w:r>
              <w:rPr>
                <w:rFonts w:hint="eastAsia"/>
                <w:lang w:eastAsia="zh-CN"/>
              </w:rPr>
              <w:t>开州区温泉镇东河温泉供水站水源地标识</w:t>
            </w:r>
            <w:r>
              <w:t>标牌相关情况</w:t>
            </w:r>
          </w:p>
        </w:tc>
        <w:tc>
          <w:tcPr>
            <w:tcW w:w="2449" w:type="dxa"/>
            <w:noWrap w:val="0"/>
            <w:vAlign w:val="center"/>
          </w:tcPr>
          <w:p w14:paraId="7F52F0E3">
            <w:pPr>
              <w:bidi w:val="0"/>
            </w:pPr>
            <w:r>
              <w:t>标示标牌</w:t>
            </w:r>
          </w:p>
        </w:tc>
      </w:tr>
      <w:tr w14:paraId="3A149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4A217C2C">
            <w:pPr>
              <w:bidi w:val="0"/>
            </w:pPr>
            <w:r>
              <w:t>5</w:t>
            </w:r>
          </w:p>
        </w:tc>
        <w:tc>
          <w:tcPr>
            <w:tcW w:w="5596" w:type="dxa"/>
            <w:noWrap w:val="0"/>
            <w:vAlign w:val="center"/>
          </w:tcPr>
          <w:p w14:paraId="3F14ED69">
            <w:pPr>
              <w:bidi w:val="0"/>
            </w:pPr>
            <w:r>
              <w:rPr>
                <w:rFonts w:hint="eastAsia"/>
                <w:lang w:eastAsia="zh-CN"/>
              </w:rPr>
              <w:t>温泉镇</w:t>
            </w:r>
            <w:r>
              <w:t>饮用水源保护区巡查记录表</w:t>
            </w:r>
          </w:p>
        </w:tc>
        <w:tc>
          <w:tcPr>
            <w:tcW w:w="2449" w:type="dxa"/>
            <w:noWrap w:val="0"/>
            <w:vAlign w:val="center"/>
          </w:tcPr>
          <w:p w14:paraId="3BC7B12A">
            <w:pPr>
              <w:bidi w:val="0"/>
            </w:pPr>
            <w:r>
              <w:rPr>
                <w:rFonts w:hint="eastAsia"/>
                <w:lang w:eastAsia="zh-CN"/>
              </w:rPr>
              <w:t>温泉镇</w:t>
            </w:r>
            <w:r>
              <w:rPr>
                <w:rFonts w:hint="eastAsia"/>
              </w:rPr>
              <w:t>政府</w:t>
            </w:r>
          </w:p>
        </w:tc>
      </w:tr>
      <w:tr w14:paraId="23B9C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00F1A2DF">
            <w:pPr>
              <w:bidi w:val="0"/>
            </w:pPr>
            <w:r>
              <w:t>6</w:t>
            </w:r>
          </w:p>
        </w:tc>
        <w:tc>
          <w:tcPr>
            <w:tcW w:w="5596" w:type="dxa"/>
            <w:noWrap w:val="0"/>
            <w:vAlign w:val="center"/>
          </w:tcPr>
          <w:p w14:paraId="4F82AEF2">
            <w:pPr>
              <w:bidi w:val="0"/>
            </w:pPr>
            <w:r>
              <w:t>重庆市</w:t>
            </w:r>
            <w:r>
              <w:rPr>
                <w:rFonts w:hint="eastAsia"/>
                <w:lang w:eastAsia="zh-CN"/>
              </w:rPr>
              <w:t>温泉镇</w:t>
            </w:r>
            <w:r>
              <w:rPr>
                <w:rFonts w:hint="eastAsia"/>
              </w:rPr>
              <w:t>环保办</w:t>
            </w:r>
            <w:r>
              <w:t>现场监察记录单</w:t>
            </w:r>
          </w:p>
        </w:tc>
        <w:tc>
          <w:tcPr>
            <w:tcW w:w="2449" w:type="dxa"/>
            <w:noWrap w:val="0"/>
            <w:vAlign w:val="center"/>
          </w:tcPr>
          <w:p w14:paraId="717E1F4D">
            <w:pPr>
              <w:bidi w:val="0"/>
            </w:pPr>
            <w:r>
              <w:t>水厂巡查记录</w:t>
            </w:r>
          </w:p>
        </w:tc>
      </w:tr>
      <w:tr w14:paraId="0C3D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5D7927FE">
            <w:pPr>
              <w:bidi w:val="0"/>
            </w:pPr>
            <w:r>
              <w:t>7</w:t>
            </w:r>
          </w:p>
        </w:tc>
        <w:tc>
          <w:tcPr>
            <w:tcW w:w="5596" w:type="dxa"/>
            <w:noWrap w:val="0"/>
            <w:vAlign w:val="center"/>
          </w:tcPr>
          <w:p w14:paraId="7009BA3F">
            <w:pPr>
              <w:bidi w:val="0"/>
            </w:pPr>
            <w:r>
              <w:rPr>
                <w:rFonts w:hint="eastAsia"/>
                <w:lang w:eastAsia="zh-CN"/>
              </w:rPr>
              <w:t>温泉镇</w:t>
            </w:r>
            <w:r>
              <w:t>饮用水源保护区巡查记录表</w:t>
            </w:r>
          </w:p>
        </w:tc>
        <w:tc>
          <w:tcPr>
            <w:tcW w:w="2449" w:type="dxa"/>
            <w:noWrap w:val="0"/>
            <w:vAlign w:val="center"/>
          </w:tcPr>
          <w:p w14:paraId="59B8BC39">
            <w:pPr>
              <w:bidi w:val="0"/>
            </w:pPr>
            <w:r>
              <w:t>生态环境局巡查记录</w:t>
            </w:r>
          </w:p>
        </w:tc>
      </w:tr>
      <w:tr w14:paraId="31EB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1D989D0D">
            <w:pPr>
              <w:bidi w:val="0"/>
            </w:pPr>
            <w:r>
              <w:t>8</w:t>
            </w:r>
          </w:p>
        </w:tc>
        <w:tc>
          <w:tcPr>
            <w:tcW w:w="5596" w:type="dxa"/>
            <w:noWrap w:val="0"/>
            <w:vAlign w:val="center"/>
          </w:tcPr>
          <w:p w14:paraId="6984E8F2">
            <w:pPr>
              <w:bidi w:val="0"/>
            </w:pPr>
            <w:r>
              <w:t>《</w:t>
            </w:r>
            <w:r>
              <w:rPr>
                <w:rFonts w:hint="eastAsia"/>
                <w:lang w:eastAsia="zh-CN"/>
              </w:rPr>
              <w:t>温泉镇</w:t>
            </w:r>
            <w:r>
              <w:rPr>
                <w:rFonts w:hint="eastAsia"/>
              </w:rPr>
              <w:t>人民政府</w:t>
            </w:r>
            <w:r>
              <w:t>应急物资明细》</w:t>
            </w:r>
          </w:p>
        </w:tc>
        <w:tc>
          <w:tcPr>
            <w:tcW w:w="2449" w:type="dxa"/>
            <w:noWrap w:val="0"/>
            <w:vAlign w:val="center"/>
          </w:tcPr>
          <w:p w14:paraId="3B883F80">
            <w:pPr>
              <w:bidi w:val="0"/>
            </w:pPr>
            <w:r>
              <w:t>水源地应急</w:t>
            </w:r>
            <w:r>
              <w:rPr>
                <w:rFonts w:hint="eastAsia"/>
                <w:lang w:eastAsia="zh-CN"/>
              </w:rPr>
              <w:t>物资</w:t>
            </w:r>
            <w:r>
              <w:t>、装备、设备储备清单</w:t>
            </w:r>
          </w:p>
        </w:tc>
      </w:tr>
      <w:tr w14:paraId="2DFE7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7B3F84F2">
            <w:pPr>
              <w:bidi w:val="0"/>
            </w:pPr>
            <w:r>
              <w:t>9</w:t>
            </w:r>
          </w:p>
        </w:tc>
        <w:tc>
          <w:tcPr>
            <w:tcW w:w="5596" w:type="dxa"/>
            <w:noWrap w:val="0"/>
            <w:vAlign w:val="center"/>
          </w:tcPr>
          <w:p w14:paraId="5E28042B">
            <w:pPr>
              <w:bidi w:val="0"/>
            </w:pPr>
            <w:r>
              <w:t>重庆市</w:t>
            </w:r>
            <w:r>
              <w:rPr>
                <w:rFonts w:hint="eastAsia"/>
              </w:rPr>
              <w:t>开州区</w:t>
            </w:r>
            <w:r>
              <w:t>环境应急专家库名单</w:t>
            </w:r>
          </w:p>
        </w:tc>
        <w:tc>
          <w:tcPr>
            <w:tcW w:w="2449" w:type="dxa"/>
            <w:noWrap w:val="0"/>
            <w:vAlign w:val="center"/>
          </w:tcPr>
          <w:p w14:paraId="285D36BA">
            <w:pPr>
              <w:bidi w:val="0"/>
            </w:pPr>
          </w:p>
        </w:tc>
      </w:tr>
    </w:tbl>
    <w:p w14:paraId="348AE2F0">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2" w:name="_Toc26530"/>
      <w:bookmarkStart w:id="33" w:name="_Toc8217"/>
      <w:r>
        <w:rPr>
          <w:rFonts w:hint="eastAsia" w:ascii="宋体" w:hAnsi="宋体" w:eastAsia="宋体" w:cs="宋体"/>
          <w:b/>
          <w:bCs/>
          <w:color w:val="auto"/>
          <w:kern w:val="2"/>
          <w:sz w:val="32"/>
          <w:szCs w:val="32"/>
          <w:lang w:val="en-US" w:eastAsia="zh-CN" w:bidi="ar-SA"/>
        </w:rPr>
        <w:t>2.4 水源地环境风险</w:t>
      </w:r>
      <w:bookmarkEnd w:id="32"/>
      <w:bookmarkEnd w:id="33"/>
    </w:p>
    <w:p w14:paraId="51E3763F">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2.4.1 固定源</w:t>
      </w:r>
    </w:p>
    <w:p w14:paraId="164F7FB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开州区温泉镇东河温泉供水站水源地保护区、汇水区域及上游连接水体上溯24小时流程范围内无工业企业、加油加气站、污水处理厂、入河排污口、废弃物暂存或转运站、危化品堆放场所、工业弃渣场、尾矿库、无垃圾填埋场等固定风险源分布。</w:t>
      </w:r>
    </w:p>
    <w:p w14:paraId="74EBAF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综上，温泉镇开州区温泉镇东河温泉供水站水源地无固定污染源存在。</w:t>
      </w:r>
    </w:p>
    <w:p w14:paraId="00DA4B88">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2.4.2 流动源</w:t>
      </w:r>
    </w:p>
    <w:p w14:paraId="602896C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（一）货运码头、水上加油站</w:t>
      </w:r>
    </w:p>
    <w:p w14:paraId="346A816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w:t>
      </w:r>
      <w:r>
        <w:rPr>
          <w:rFonts w:hint="eastAsia" w:ascii="宋体" w:hAnsi="宋体" w:eastAsia="宋体" w:cs="宋体"/>
          <w:color w:val="auto"/>
          <w:sz w:val="28"/>
          <w:szCs w:val="28"/>
          <w:lang w:val="en-US" w:eastAsia="zh-CN"/>
        </w:rPr>
        <w:t>温泉镇东河温泉供水站水源地保护区内无从事危险化学品或煤炭、矿砂、水泥等装卸作业的货运码头。保护区及保护区上游连接水体及周边汇水区域上溯24小时流程范围内无水上加油站，无航道功能，不涉及环境风险物质运输，无涉及环境风险物质运输的码头。</w:t>
      </w:r>
    </w:p>
    <w:p w14:paraId="46E73B0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（二）涉及环境风险物质运输的道路、桥梁</w:t>
      </w:r>
    </w:p>
    <w:p w14:paraId="5CCE106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根据现场调查，开州区温泉镇东河温泉供水站水源地保护区无公路穿越。</w:t>
      </w:r>
    </w:p>
    <w:p w14:paraId="1499DB7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保护区上游连接水体及周边汇水区域上溯24小时流程范围内的水体旁分布有道路（村道），临水源地的道路段设置有防撞护栏。</w:t>
      </w:r>
    </w:p>
    <w:p w14:paraId="3BC3E55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温泉镇未设置危险化学品专用运输道路，水源地周边无使用或储存环境风险物质的企业。因此，除行驶的交通载具自带的油品外，基本不涉及环境风险物质运输。</w:t>
      </w:r>
    </w:p>
    <w:p w14:paraId="1DBEB83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（三）涉及环境风险物质运输的航道</w:t>
      </w:r>
    </w:p>
    <w:p w14:paraId="2A90A17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无航道功能，不涉及环境风险物质运输，无涉及环境风险物质运输的码头。</w:t>
      </w:r>
    </w:p>
    <w:p w14:paraId="64C671F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综上，开州区温泉镇东河温泉供水站水源地保护区及保护区上游连接水体及周边汇水区域上溯24小时流程范围内的流动风险源主要为：交通道路。</w:t>
      </w:r>
    </w:p>
    <w:p w14:paraId="73427C2A">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2.4.3 非点源</w:t>
      </w:r>
    </w:p>
    <w:p w14:paraId="31B4B61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（一）土地利用</w:t>
      </w:r>
    </w:p>
    <w:p w14:paraId="5495FB2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开州区温泉镇东河温泉供水站水源地保护区及流域范围内土地利用以林地为主，有一定面积的林地和农村居民用地。水源地保护边界上游上溯24小时流程范围的流域范围主要为农村区域，农用地、林地和未利用地等土地利用类型均有分布。</w:t>
      </w:r>
    </w:p>
    <w:p w14:paraId="7D43FCB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（二）农业面源风险源</w:t>
      </w:r>
    </w:p>
    <w:p w14:paraId="4A46F09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温泉镇东河温泉供水站水源地保护区一级、二级保护区范围内不存在耕地。汇水区域有少量耕地，对汇水区内的农业种植采用改良耕作方式，集中推广科学实用高质量的专用配方肥料，在重点区域开展测土配方施肥试验示范，提高肥料利用率等措施有效控制氮、磷入库负荷。大力实施绿色防控，推广病虫害远程监控技术，农业防治、物理防治、生物防治技术，化学防控技术，有效控制入库农药污染负荷，从而减少农业面源污染。</w:t>
      </w:r>
    </w:p>
    <w:p w14:paraId="6792531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（三）畜禽养殖风险源</w:t>
      </w:r>
    </w:p>
    <w:p w14:paraId="703C6AE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根据饮用水水源地环境保护现场监察记录及现场踏勘，开州区温泉镇东河温泉供水站水源地保护区内无规模化畜禽养殖。</w:t>
      </w:r>
    </w:p>
    <w:p w14:paraId="7E502C0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（四）水产养殖风险源</w:t>
      </w:r>
    </w:p>
    <w:p w14:paraId="6F5AC06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开州区温泉镇东河温泉供水站水源地保护区内、保护区边界向上游连接水体及周边汇水区域上溯24小时流程范围的流域范围内均无水产养殖。</w:t>
      </w:r>
    </w:p>
    <w:p w14:paraId="1BF8CCE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（五）生活风险源</w:t>
      </w:r>
    </w:p>
    <w:p w14:paraId="37A7DBD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经调查，开州区温泉镇东河温泉供水站水源地保护区内无生活排污口。水源地保护区内居民生活污水均收集进入旱厕作农家肥用。</w:t>
      </w:r>
    </w:p>
    <w:p w14:paraId="092B37CD">
      <w:pPr>
        <w:bidi w:val="0"/>
        <w:rPr>
          <w:rFonts w:hint="eastAsia"/>
          <w:lang w:val="en-US" w:eastAsia="zh-CN"/>
        </w:rPr>
      </w:pPr>
    </w:p>
    <w:p w14:paraId="0DA2ACC5">
      <w:pPr>
        <w:bidi w:val="0"/>
        <w:rPr>
          <w:rFonts w:hint="eastAsia"/>
          <w:lang w:val="en-US" w:eastAsia="zh-CN"/>
        </w:rPr>
      </w:pPr>
      <w:r>
        <w:rPr>
          <w:rFonts w:hint="eastAsia"/>
          <w:lang w:val="en-US" w:eastAsia="zh-CN"/>
        </w:rPr>
        <w:br w:type="page"/>
      </w:r>
    </w:p>
    <w:p w14:paraId="15F4CF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kern w:val="2"/>
          <w:sz w:val="32"/>
          <w:szCs w:val="32"/>
          <w:lang w:val="en-US" w:eastAsia="zh-CN" w:bidi="ar-SA"/>
        </w:rPr>
      </w:pPr>
      <w:bookmarkStart w:id="34" w:name="_Toc1557"/>
      <w:bookmarkStart w:id="35" w:name="_Toc21990"/>
      <w:r>
        <w:rPr>
          <w:rFonts w:hint="eastAsia" w:ascii="宋体" w:hAnsi="宋体" w:eastAsia="宋体" w:cs="宋体"/>
          <w:b/>
          <w:bCs/>
          <w:color w:val="auto"/>
          <w:kern w:val="2"/>
          <w:sz w:val="32"/>
          <w:szCs w:val="32"/>
          <w:lang w:val="en-US" w:eastAsia="zh-CN" w:bidi="ar-SA"/>
        </w:rPr>
        <w:t>3 应急组织机构体系及职责</w:t>
      </w:r>
      <w:bookmarkEnd w:id="34"/>
      <w:bookmarkEnd w:id="35"/>
    </w:p>
    <w:p w14:paraId="3ADA1FA3">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6" w:name="_Toc20276"/>
      <w:bookmarkStart w:id="37" w:name="_Toc3034"/>
      <w:r>
        <w:rPr>
          <w:rFonts w:hint="eastAsia" w:ascii="宋体" w:hAnsi="宋体" w:eastAsia="宋体" w:cs="宋体"/>
          <w:b/>
          <w:bCs/>
          <w:color w:val="auto"/>
          <w:kern w:val="2"/>
          <w:sz w:val="32"/>
          <w:szCs w:val="32"/>
          <w:lang w:val="en-US" w:eastAsia="zh-CN" w:bidi="ar-SA"/>
        </w:rPr>
        <w:t>3.1 应急组织机构</w:t>
      </w:r>
      <w:bookmarkEnd w:id="36"/>
      <w:bookmarkEnd w:id="37"/>
    </w:p>
    <w:p w14:paraId="34BEC93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温泉镇是负责重庆市开州区温泉镇突发环境事件应急管理工作的行政领导机关。根据工作需要，成立温泉镇应急领导小组（以下简称“应急领导小组”），统一领导重庆市开州区温泉镇突发环境事件应对工作，对重庆市开州区温泉镇突发环境事件的应急管理、应急处置和灾后重建工作的实施领导，负责统一指挥突发环境事件应急处置工作。</w:t>
      </w:r>
    </w:p>
    <w:p w14:paraId="5F602325">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总指挥由温泉镇党委书记担任，副总指挥由温泉镇镇长、副书记、副镇长等担任，成员由各相关部门负责人及各社区、村负责人担任。应急领导小组下设突发环境事件应急办公室（以下简称“应急办公室”），应急办公室设在温泉镇村镇建设服务中心，由村镇建设服务中心主任兼任应急办主任，村镇建设服务中心从事应急工作的相关同志为办公室成员。</w:t>
      </w:r>
      <w:bookmarkStart w:id="38" w:name="_Toc26095"/>
    </w:p>
    <w:p w14:paraId="65B85EBB">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default" w:ascii="宋体" w:hAnsi="宋体" w:eastAsia="宋体" w:cs="宋体"/>
          <w:b/>
          <w:bCs/>
          <w:color w:val="auto"/>
          <w:kern w:val="2"/>
          <w:sz w:val="32"/>
          <w:szCs w:val="32"/>
          <w:lang w:val="en-US" w:eastAsia="zh-CN" w:bidi="ar-SA"/>
        </w:rPr>
      </w:pPr>
      <w:bookmarkStart w:id="39" w:name="_Toc26975"/>
      <w:r>
        <w:rPr>
          <w:rFonts w:hint="eastAsia" w:ascii="宋体" w:hAnsi="宋体" w:eastAsia="宋体" w:cs="宋体"/>
          <w:b/>
          <w:bCs/>
          <w:color w:val="auto"/>
          <w:kern w:val="2"/>
          <w:sz w:val="32"/>
          <w:szCs w:val="32"/>
          <w:lang w:val="en-US" w:eastAsia="zh-CN" w:bidi="ar-SA"/>
        </w:rPr>
        <w:t>3.2 应急工作机构及职责</w:t>
      </w:r>
      <w:bookmarkEnd w:id="38"/>
      <w:bookmarkEnd w:id="39"/>
    </w:p>
    <w:p w14:paraId="18F9A3E6">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3.2.1 应急指挥部体系</w:t>
      </w:r>
    </w:p>
    <w:p w14:paraId="28389D5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时，应急领导小组自动转换为突发环境事件应急指挥部（以下简称“应急指挥部”），应急指挥部为突发环境事件现场应急指挥机构，应急领导小组组长自动转换为应急总指挥，副组长转换为副总指挥。</w:t>
      </w:r>
    </w:p>
    <w:p w14:paraId="36D81D9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应急指挥部按照职责分工和协同联动工作需要；下设3个应急工作组：现场处置组、综合协调组、警戒疏散组，开展突发环境事件及其次生、衍生灾害的应急处置工作。应急工作体系图见图3</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2。</w:t>
      </w:r>
    </w:p>
    <w:p w14:paraId="0DDBFDBF">
      <w:pPr>
        <w:pageBreakBefore w:val="0"/>
        <w:kinsoku/>
        <w:wordWrap/>
        <w:overflowPunct/>
        <w:topLinePunct w:val="0"/>
        <w:bidi w:val="0"/>
        <w:spacing w:before="0" w:beforeLines="0" w:after="0" w:afterLines="0"/>
        <w:ind w:left="0"/>
        <w:jc w:val="center"/>
        <w:textAlignment w:val="auto"/>
        <w:outlineLvl w:val="9"/>
        <w:rPr>
          <w:rFonts w:hint="eastAsia" w:ascii="宋体" w:hAnsi="宋体" w:eastAsia="宋体" w:cs="宋体"/>
          <w:b/>
          <w:bCs/>
          <w:color w:val="auto"/>
          <w:sz w:val="24"/>
          <w:szCs w:val="24"/>
          <w:lang w:val="en-US" w:eastAsia="zh-CN"/>
        </w:rPr>
      </w:pPr>
      <w:r>
        <w:rPr>
          <w:color w:val="auto"/>
          <w:sz w:val="24"/>
        </w:rPr>
        <mc:AlternateContent>
          <mc:Choice Requires="wpg">
            <w:drawing>
              <wp:anchor distT="0" distB="0" distL="114300" distR="114300" simplePos="0" relativeHeight="251679744" behindDoc="0" locked="0" layoutInCell="1" allowOverlap="1">
                <wp:simplePos x="0" y="0"/>
                <wp:positionH relativeFrom="column">
                  <wp:posOffset>1523365</wp:posOffset>
                </wp:positionH>
                <wp:positionV relativeFrom="page">
                  <wp:posOffset>1042670</wp:posOffset>
                </wp:positionV>
                <wp:extent cx="2799715" cy="2386330"/>
                <wp:effectExtent l="4445" t="4445" r="15240" b="9525"/>
                <wp:wrapTopAndBottom/>
                <wp:docPr id="66" name="组合 66"/>
                <wp:cNvGraphicFramePr/>
                <a:graphic xmlns:a="http://schemas.openxmlformats.org/drawingml/2006/main">
                  <a:graphicData uri="http://schemas.microsoft.com/office/word/2010/wordprocessingGroup">
                    <wpg:wgp>
                      <wpg:cNvGrpSpPr/>
                      <wpg:grpSpPr>
                        <a:xfrm>
                          <a:off x="0" y="0"/>
                          <a:ext cx="2799715" cy="2386330"/>
                          <a:chOff x="7345" y="244510"/>
                          <a:chExt cx="4409" cy="3758"/>
                        </a:xfrm>
                        <a:effectLst/>
                      </wpg:grpSpPr>
                      <wps:wsp>
                        <wps:cNvPr id="65" name="矩形 55"/>
                        <wps:cNvSpPr/>
                        <wps:spPr>
                          <a:xfrm>
                            <a:off x="8728" y="244510"/>
                            <a:ext cx="1763" cy="7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213D32">
                              <w:pPr>
                                <w:jc w:val="center"/>
                                <w:rPr>
                                  <w:rFonts w:hint="eastAsia" w:eastAsia="宋体"/>
                                  <w:sz w:val="28"/>
                                  <w:szCs w:val="28"/>
                                  <w:lang w:eastAsia="zh-CN"/>
                                </w:rPr>
                              </w:pPr>
                              <w:r>
                                <w:rPr>
                                  <w:rFonts w:hint="eastAsia"/>
                                  <w:sz w:val="28"/>
                                  <w:szCs w:val="28"/>
                                  <w:lang w:eastAsia="zh-CN"/>
                                </w:rPr>
                                <w:t>应急指挥部</w:t>
                              </w:r>
                            </w:p>
                          </w:txbxContent>
                        </wps:txbx>
                        <wps:bodyPr upright="1"/>
                      </wps:wsp>
                      <wps:wsp>
                        <wps:cNvPr id="67" name="矩形 57"/>
                        <wps:cNvSpPr/>
                        <wps:spPr>
                          <a:xfrm>
                            <a:off x="9347"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wps:txbx>
                        <wps:bodyPr upright="1"/>
                      </wps:wsp>
                      <wps:wsp>
                        <wps:cNvPr id="68" name="矩形 58"/>
                        <wps:cNvSpPr/>
                        <wps:spPr>
                          <a:xfrm>
                            <a:off x="1118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wps:txbx>
                        <wps:bodyPr upright="1"/>
                      </wps:wsp>
                      <wps:wsp>
                        <wps:cNvPr id="69" name="矩形 59"/>
                        <wps:cNvSpPr/>
                        <wps:spPr>
                          <a:xfrm>
                            <a:off x="734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wps:txbx>
                        <wps:bodyPr upright="1"/>
                      </wps:wsp>
                      <wps:wsp>
                        <wps:cNvPr id="70" name="肘形连接符 61"/>
                        <wps:cNvCnPr>
                          <a:stCxn id="65" idx="2"/>
                          <a:endCxn id="69" idx="0"/>
                        </wps:cNvCnPr>
                        <wps:spPr>
                          <a:xfrm rot="5400000">
                            <a:off x="7951" y="244907"/>
                            <a:ext cx="1329" cy="198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1" name="肘形连接符 62"/>
                        <wps:cNvCnPr>
                          <a:stCxn id="65" idx="2"/>
                          <a:endCxn id="68" idx="0"/>
                        </wps:cNvCnPr>
                        <wps:spPr>
                          <a:xfrm rot="5400000" flipV="1">
                            <a:off x="9871" y="244967"/>
                            <a:ext cx="1329" cy="186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2" name="直接连接符 63"/>
                        <wps:cNvCnPr/>
                        <wps:spPr>
                          <a:xfrm>
                            <a:off x="9596" y="245886"/>
                            <a:ext cx="10" cy="675"/>
                          </a:xfrm>
                          <a:prstGeom prst="line">
                            <a:avLst/>
                          </a:prstGeom>
                          <a:ln w="9525" cap="flat" cmpd="sng">
                            <a:solidFill>
                              <a:srgbClr val="000000"/>
                            </a:solidFill>
                            <a:prstDash val="solid"/>
                            <a:headEnd type="none" w="med" len="med"/>
                            <a:tailEnd type="arrow" w="med" len="med"/>
                          </a:ln>
                          <a:effectLst/>
                        </wps:spPr>
                        <wps:bodyPr upright="1"/>
                      </wps:wsp>
                    </wpg:wgp>
                  </a:graphicData>
                </a:graphic>
              </wp:anchor>
            </w:drawing>
          </mc:Choice>
          <mc:Fallback>
            <w:pict>
              <v:group id="_x0000_s1026" o:spid="_x0000_s1026" o:spt="203" style="position:absolute;left:0pt;margin-left:119.95pt;margin-top:82.1pt;height:187.9pt;width:220.45pt;mso-position-vertical-relative:page;mso-wrap-distance-bottom:0pt;mso-wrap-distance-top:0pt;z-index:251679744;mso-width-relative:page;mso-height-relative:page;" coordorigin="7345,244510" coordsize="4409,3758" o:gfxdata="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EsPO43aAAAACwEAAA8AAAAAAAAAAQAgAAAAIgAAAGRycy9kb3ducmV2LnhtbFBLAQIUABQAAAAI&#10;AIdO4kAulTbEJQQAAAQUAAAOAAAAAAAAAAEAIAAAACkBAABkcnMvZTJvRG9jLnhtbFBLBQYAAAAA&#10;BgAGAFkBAADABwAAAAA=&#10;">
                <o:lock v:ext="edit" aspectratio="f"/>
                <v:rect id="矩形 55" o:spid="_x0000_s1026" o:spt="1" style="position:absolute;left:8728;top:244510;height:727;width:1763;"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213D32">
                        <w:pPr>
                          <w:jc w:val="center"/>
                          <w:rPr>
                            <w:rFonts w:hint="eastAsia" w:eastAsia="宋体"/>
                            <w:sz w:val="28"/>
                            <w:szCs w:val="28"/>
                            <w:lang w:eastAsia="zh-CN"/>
                          </w:rPr>
                        </w:pPr>
                        <w:r>
                          <w:rPr>
                            <w:rFonts w:hint="eastAsia"/>
                            <w:sz w:val="28"/>
                            <w:szCs w:val="28"/>
                            <w:lang w:eastAsia="zh-CN"/>
                          </w:rPr>
                          <w:t>应急指挥部</w:t>
                        </w:r>
                      </w:p>
                    </w:txbxContent>
                  </v:textbox>
                </v:rect>
                <v:rect id="矩形 57" o:spid="_x0000_s1026" o:spt="1" style="position:absolute;left:9347;top:246566;height:1702;width:569;"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v:textbox>
                </v:rect>
                <v:rect id="矩形 58" o:spid="_x0000_s1026" o:spt="1" style="position:absolute;left:11185;top:246566;height:1702;width:569;"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v:textbox>
                </v:rect>
                <v:rect id="矩形 59" o:spid="_x0000_s1026" o:spt="1" style="position:absolute;left:7345;top:246566;height:1702;width:569;"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v:textbox>
                </v:rect>
                <v:shape id="肘形连接符 61" o:spid="_x0000_s1026" o:spt="34" type="#_x0000_t34" style="position:absolute;left:7951;top:244907;height:1980;width:1329;rotation:5898240f;" filled="f" stroked="t" coordsize="21600,21600" o:gfxdata="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Cd60ugAAANsA&#10;AAAPAAAAAAAAAAEAIAAAACIAAABkcnMvZG93bnJldi54bWxQSwECFAAUAAAACACHTuJAMy8FnjsA&#10;AAA5AAAAEAAAAAAAAAABACAAAAAJAQAAZHJzL3NoYXBleG1sLnhtbFBLBQYAAAAABgAGAFsBAACz&#10;AwAAAAA=&#10;" adj="10800">
                  <v:fill on="f" focussize="0,0"/>
                  <v:stroke color="#000000" joinstyle="miter" endarrow="open"/>
                  <v:imagedata o:title=""/>
                  <o:lock v:ext="edit" aspectratio="f"/>
                </v:shape>
                <v:shape id="肘形连接符 62" o:spid="_x0000_s1026" o:spt="34" type="#_x0000_t34" style="position:absolute;left:9871;top:244967;flip:y;height:1860;width:1329;rotation:-5898240f;" filled="f" stroked="t" coordsize="21600,21600" o:gfxdata="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Ugr4A&#10;AADb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line id="直接连接符 63" o:spid="_x0000_s1026" o:spt="20" style="position:absolute;left:9596;top:245886;height:675;width:10;" filled="f" stroked="t" coordsize="21600,21600" o:gfxdata="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4TS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topAndBottom"/>
              </v:group>
            </w:pict>
          </mc:Fallback>
        </mc:AlternateContent>
      </w:r>
      <w:r>
        <w:rPr>
          <w:rFonts w:hint="eastAsia" w:ascii="宋体" w:hAnsi="宋体" w:eastAsia="宋体" w:cs="宋体"/>
          <w:b/>
          <w:bCs/>
          <w:color w:val="auto"/>
          <w:sz w:val="24"/>
          <w:szCs w:val="24"/>
          <w:lang w:val="en-US" w:eastAsia="zh-CN"/>
        </w:rPr>
        <w:t>图3-2 应急工作体系图</w:t>
      </w:r>
    </w:p>
    <w:p w14:paraId="59062A69">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default"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3.2.2 应急指挥部职责</w:t>
      </w:r>
    </w:p>
    <w:p w14:paraId="43098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3.2.2.1 应急指挥部</w:t>
      </w:r>
    </w:p>
    <w:p w14:paraId="7D36601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1）宣布成立现场应急指挥部；</w:t>
      </w:r>
    </w:p>
    <w:p w14:paraId="63841B3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2）发生水源地突发环境事件时，亲自或委托副指挥长赶赴现场进行指挥；</w:t>
      </w:r>
    </w:p>
    <w:p w14:paraId="56680D7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3）组织开展现场应急处置；</w:t>
      </w:r>
    </w:p>
    <w:p w14:paraId="1EA1106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4）贯彻执行当地或上级人民政府及有关部门的应急指令；</w:t>
      </w:r>
    </w:p>
    <w:p w14:paraId="1DC6B09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5）研判突发环境事件发展态势，组织制定并批准现场处置方案；</w:t>
      </w:r>
    </w:p>
    <w:p w14:paraId="074DC1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6）按照预警、应急启动或终止条件，决定预案的启动或终止；</w:t>
      </w:r>
    </w:p>
    <w:p w14:paraId="2AAFC5B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7）组织开展损害评估等后期工作。</w:t>
      </w:r>
    </w:p>
    <w:p w14:paraId="06BD322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8）接受上级领导部门交办任务。</w:t>
      </w:r>
    </w:p>
    <w:p w14:paraId="7FDC46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3.2.2.2 现场处置组</w:t>
      </w:r>
    </w:p>
    <w:p w14:paraId="6CF9407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长：副镇长</w:t>
      </w:r>
    </w:p>
    <w:p w14:paraId="2136797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员：副镇长、村镇建设服务中心副主任</w:t>
      </w:r>
    </w:p>
    <w:p w14:paraId="67F2B9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1A30344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1）根据突发环境事件的性质、社会危害程度、可控性和影响范围，明确应对应急处置工作方案。</w:t>
      </w:r>
    </w:p>
    <w:p w14:paraId="25763F2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2）制定人员搜救方案，指导现场处置人员的安全防护和遇险人员自救，清点、寻找事件现场内涉险人员，并将其从危险区疏散撤离。</w:t>
      </w:r>
    </w:p>
    <w:p w14:paraId="1C0CA38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3）迅速组织切断污染源，分析污染途径，明确防止污染物扩散的路径；组织采取有效措施。对风险物质收集为主，开展围堵、疏导、收集的应急处置工作。</w:t>
      </w:r>
    </w:p>
    <w:p w14:paraId="1957776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4）消除或减轻已经造成的污染，明确不同情况下的现场处置人员须采取的个人防护措施。</w:t>
      </w:r>
    </w:p>
    <w:p w14:paraId="025F6F2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5）实施持续有序高效组织开展突发环境事件影响区域的应急处置工作。</w:t>
      </w:r>
    </w:p>
    <w:p w14:paraId="763DF55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6）完成应急指挥部交办的其他任务。</w:t>
      </w:r>
    </w:p>
    <w:p w14:paraId="72A4CE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3.2.2.3 综合协调组</w:t>
      </w:r>
    </w:p>
    <w:p w14:paraId="45CD5E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长：副书记</w:t>
      </w:r>
    </w:p>
    <w:p w14:paraId="3DBA33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员：平安法治办主任、村镇建设服务中心职工</w:t>
      </w:r>
    </w:p>
    <w:p w14:paraId="158409C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4F41B105">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w:t>
      </w:r>
      <w:r>
        <w:rPr>
          <w:rFonts w:hint="eastAsia" w:ascii="宋体" w:hAnsi="宋体" w:eastAsia="宋体" w:cs="宋体"/>
          <w:color w:val="auto"/>
          <w:sz w:val="28"/>
          <w:szCs w:val="28"/>
          <w:lang w:val="en-US" w:eastAsia="zh-CN"/>
        </w:rPr>
        <w:t>）负责事发现场相关信息的收集、汇总、处理，组织编制环境事件报告。</w:t>
      </w:r>
    </w:p>
    <w:p w14:paraId="4992BA3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highlight w:val="none"/>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）及时向区政府和上级主管部门报送信息，</w:t>
      </w:r>
      <w:r>
        <w:rPr>
          <w:rFonts w:hint="eastAsia" w:ascii="宋体" w:hAnsi="宋体" w:eastAsia="宋体" w:cs="宋体"/>
          <w:color w:val="auto"/>
          <w:sz w:val="28"/>
          <w:szCs w:val="28"/>
          <w:highlight w:val="none"/>
          <w:lang w:val="en-US" w:eastAsia="zh-CN"/>
        </w:rPr>
        <w:t>协调区、街道的环境应急处置力量。</w:t>
      </w:r>
    </w:p>
    <w:p w14:paraId="16D7AC7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t>）负责保持与各单位（部门）的信息联络工作</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负责制定应急供水保障方案；负责指导供水单位启动深度处 理设施或备用水源以及应急供水车等措施，保障居民用水；</w:t>
      </w:r>
    </w:p>
    <w:p w14:paraId="2FBDC2B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w:t>
      </w:r>
      <w:r>
        <w:rPr>
          <w:rFonts w:hint="eastAsia" w:ascii="宋体" w:hAnsi="宋体" w:eastAsia="宋体" w:cs="宋体"/>
          <w:color w:val="auto"/>
          <w:sz w:val="28"/>
          <w:szCs w:val="28"/>
          <w:lang w:val="en-US" w:eastAsia="zh-CN"/>
        </w:rPr>
        <w:t>）对预警、应急处置、事件调查、信息报送、信息通报、信息发布等工作进行统筹协调、指挥调度、督促落实。</w:t>
      </w:r>
    </w:p>
    <w:p w14:paraId="67CAE01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t>）组织做好环境应急救援物资及临时安置重要物资的紧急储备调拨和紧急配送工作。</w:t>
      </w:r>
    </w:p>
    <w:p w14:paraId="399043F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6）及时组织调运生活必需品，保障事件区域附近群众基本生活和市场供应。</w:t>
      </w:r>
    </w:p>
    <w:p w14:paraId="046C8B6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7）组织开展应急工作的信息发布工作，加强新闻宣传。收集分析舆情和社会公众动态，及时澄清不实信息，回应社会关切。加强媒体、电信和互联网的管理，正确引导舆论。</w:t>
      </w:r>
    </w:p>
    <w:p w14:paraId="2679457B">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r>
        <w:rPr>
          <w:rFonts w:hint="default" w:ascii="宋体" w:hAnsi="宋体" w:eastAsia="宋体" w:cs="宋体"/>
          <w:color w:val="auto"/>
          <w:sz w:val="28"/>
          <w:szCs w:val="28"/>
          <w:lang w:val="en-US" w:eastAsia="zh-CN"/>
        </w:rPr>
        <w:t>）突发环境事件处置工作结束后，负责开展善后处置工作，包括人员安置、抚恤补偿、保险理赔、医疗补助、征用补偿、救援物资供应、环境污染消除、污染源监控和治理等措施</w:t>
      </w:r>
    </w:p>
    <w:p w14:paraId="045F892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r>
        <w:rPr>
          <w:rFonts w:hint="default" w:ascii="宋体" w:hAnsi="宋体" w:eastAsia="宋体" w:cs="宋体"/>
          <w:color w:val="auto"/>
          <w:sz w:val="28"/>
          <w:szCs w:val="28"/>
          <w:lang w:val="en-US" w:eastAsia="zh-CN"/>
        </w:rPr>
        <w:t>）防止事件造成次生、衍生危害，尽快恢复正常秩序，确保社会稳定。</w:t>
      </w:r>
    </w:p>
    <w:p w14:paraId="3A32745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10）完成应急指挥部交办的其他任务。</w:t>
      </w:r>
    </w:p>
    <w:p w14:paraId="0DBD9E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3.2.2.4 警戒疏散组</w:t>
      </w:r>
    </w:p>
    <w:p w14:paraId="166D335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长：温泉镇派出所所长</w:t>
      </w:r>
    </w:p>
    <w:p w14:paraId="24A217F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员：综合执法大队队长、平安法治办副主任</w:t>
      </w:r>
    </w:p>
    <w:p w14:paraId="42D62B1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669D8FA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污染物种类、性质以及当地气象、自然、社会环境状况等，配合区政府、区生态环境局或专家等明确相应的应急监测方案及监测方法，协调、配合监测单位开展应急监测，及时为突发环境事件应急决策提供依据。</w:t>
      </w:r>
    </w:p>
    <w:p w14:paraId="3D786DE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2）依据现场监测的情况，为事件区域设置警戒区域提供科学依据，并划定现场警戒和交通管制区域，确定重点防护区域。</w:t>
      </w:r>
    </w:p>
    <w:p w14:paraId="5F6CAAF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3）确定受威胁人员疏散的方式和途径，疏散转移受威胁人员至紧急避险场所。</w:t>
      </w:r>
    </w:p>
    <w:p w14:paraId="2DB7DB6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4）及时组织开展伤病员医疗救治、应急心理援助，将人员伤害降低到最小，协助开展受污染人员的卫生防疫工作。</w:t>
      </w:r>
    </w:p>
    <w:p w14:paraId="00B4B14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5）负责事件现场警戒，及时对无关人员疏散，疏通消防通道，确保消防、医疗救护车辆能抵达事件现场。</w:t>
      </w:r>
    </w:p>
    <w:p w14:paraId="143CBA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6）维护事件现场治安秩序，确保事件应急救援工作顺利开展。</w:t>
      </w:r>
    </w:p>
    <w:p w14:paraId="55AD6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7）完成应急指挥部交办的其他任务。</w:t>
      </w:r>
    </w:p>
    <w:p w14:paraId="38F45D4A">
      <w:pPr>
        <w:rPr>
          <w:rStyle w:val="17"/>
          <w:rFonts w:hint="eastAsia" w:ascii="宋体" w:hAnsi="宋体" w:eastAsia="宋体" w:cs="宋体"/>
          <w:b/>
          <w:bCs/>
          <w:color w:val="000000"/>
          <w:sz w:val="32"/>
          <w:szCs w:val="32"/>
          <w:lang w:val="en-US" w:eastAsia="zh-CN"/>
        </w:rPr>
      </w:pPr>
      <w:bookmarkStart w:id="40" w:name="_Toc386313017"/>
      <w:bookmarkStart w:id="41" w:name="_Toc403343074"/>
      <w:bookmarkStart w:id="42" w:name="_Toc18923"/>
      <w:r>
        <w:rPr>
          <w:rStyle w:val="17"/>
          <w:rFonts w:hint="eastAsia" w:ascii="宋体" w:hAnsi="宋体" w:eastAsia="宋体" w:cs="宋体"/>
          <w:b/>
          <w:bCs/>
          <w:color w:val="000000"/>
          <w:sz w:val="32"/>
          <w:szCs w:val="32"/>
          <w:lang w:val="en-US" w:eastAsia="zh-CN"/>
        </w:rPr>
        <w:br w:type="page"/>
      </w:r>
    </w:p>
    <w:bookmarkEnd w:id="40"/>
    <w:bookmarkEnd w:id="41"/>
    <w:bookmarkEnd w:id="42"/>
    <w:p w14:paraId="2E5FEC5D">
      <w:pPr>
        <w:pStyle w:val="13"/>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7"/>
          <w:rFonts w:hint="default" w:ascii="宋体" w:hAnsi="宋体" w:eastAsia="宋体" w:cs="宋体"/>
          <w:b/>
          <w:bCs/>
          <w:color w:val="000000"/>
          <w:sz w:val="32"/>
          <w:szCs w:val="32"/>
          <w:lang w:val="en-US" w:eastAsia="zh-CN"/>
        </w:rPr>
      </w:pPr>
      <w:bookmarkStart w:id="43" w:name="_Toc13839"/>
      <w:bookmarkStart w:id="44" w:name="_Toc581"/>
      <w:bookmarkStart w:id="45" w:name="_Toc981"/>
      <w:bookmarkStart w:id="46" w:name="_Toc9732"/>
      <w:r>
        <w:rPr>
          <w:rStyle w:val="17"/>
          <w:rFonts w:hint="eastAsia" w:ascii="宋体" w:hAnsi="宋体" w:eastAsia="宋体" w:cs="宋体"/>
          <w:b/>
          <w:bCs/>
          <w:color w:val="000000"/>
          <w:sz w:val="32"/>
          <w:szCs w:val="32"/>
          <w:lang w:val="en-US" w:eastAsia="zh-CN"/>
        </w:rPr>
        <w:t>4</w:t>
      </w:r>
      <w:r>
        <w:rPr>
          <w:rStyle w:val="17"/>
          <w:rFonts w:hint="eastAsia" w:ascii="宋体" w:hAnsi="宋体" w:cs="宋体"/>
          <w:b/>
          <w:bCs/>
          <w:color w:val="000000"/>
          <w:sz w:val="32"/>
          <w:szCs w:val="32"/>
          <w:lang w:val="en-US" w:eastAsia="zh-CN"/>
        </w:rPr>
        <w:t xml:space="preserve"> </w:t>
      </w:r>
      <w:r>
        <w:rPr>
          <w:rStyle w:val="17"/>
          <w:rFonts w:hint="eastAsia" w:cs="宋体"/>
          <w:b/>
          <w:bCs/>
          <w:color w:val="000000"/>
          <w:sz w:val="32"/>
          <w:szCs w:val="32"/>
          <w:lang w:val="en-US" w:eastAsia="zh-CN"/>
        </w:rPr>
        <w:t>应急响应</w:t>
      </w:r>
      <w:bookmarkEnd w:id="43"/>
    </w:p>
    <w:p w14:paraId="2B78A8E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cs="宋体"/>
          <w:color w:val="auto"/>
          <w:sz w:val="28"/>
          <w:szCs w:val="28"/>
          <w:lang w:val="en-US" w:eastAsia="zh-CN"/>
        </w:rPr>
        <w:t>开州区温泉镇东河温泉供水站水源地</w:t>
      </w:r>
      <w:r>
        <w:rPr>
          <w:rFonts w:hint="eastAsia" w:ascii="宋体" w:hAnsi="宋体" w:eastAsia="宋体" w:cs="宋体"/>
          <w:color w:val="auto"/>
          <w:sz w:val="28"/>
          <w:szCs w:val="28"/>
          <w:lang w:val="en-US" w:eastAsia="zh-CN"/>
        </w:rPr>
        <w:t>突发环境事件应急响应程序包括信息收集和研判、预警、信息报告与通报、事态研判、应急监测、污染源排查与处置、应急处置、物资调集及应急设施启用、舆情监测与信息发布、响应终止等工作内容。主要应急响应流程图见图4.1-1。</w:t>
      </w:r>
    </w:p>
    <w:p w14:paraId="336345E0">
      <w:pPr>
        <w:pStyle w:val="19"/>
        <w:rPr>
          <w:rFonts w:hint="eastAsia"/>
          <w:lang w:val="en-US" w:eastAsia="zh-CN"/>
        </w:rPr>
      </w:pPr>
      <w:r>
        <w:rPr>
          <w:rFonts w:hint="default" w:ascii="Times New Roman" w:hAnsi="Times New Roman" w:eastAsia="宋体" w:cs="Times New Roman"/>
          <w:color w:val="000000"/>
          <w:kern w:val="2"/>
          <w:sz w:val="21"/>
          <w:szCs w:val="24"/>
          <w:lang w:val="en-US" w:eastAsia="zh-CN" w:bidi="ar-SA"/>
        </w:rPr>
        <w:drawing>
          <wp:anchor distT="0" distB="0" distL="114300" distR="114300" simplePos="0" relativeHeight="251680768" behindDoc="0" locked="0" layoutInCell="1" allowOverlap="1">
            <wp:simplePos x="0" y="0"/>
            <wp:positionH relativeFrom="column">
              <wp:posOffset>-20320</wp:posOffset>
            </wp:positionH>
            <wp:positionV relativeFrom="paragraph">
              <wp:posOffset>0</wp:posOffset>
            </wp:positionV>
            <wp:extent cx="5788660" cy="6143625"/>
            <wp:effectExtent l="0" t="0" r="2540" b="952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788660" cy="6143625"/>
                    </a:xfrm>
                    <a:prstGeom prst="rect">
                      <a:avLst/>
                    </a:prstGeom>
                    <a:noFill/>
                    <a:ln>
                      <a:noFill/>
                    </a:ln>
                  </pic:spPr>
                </pic:pic>
              </a:graphicData>
            </a:graphic>
          </wp:anchor>
        </w:drawing>
      </w:r>
    </w:p>
    <w:p w14:paraId="439F17E4">
      <w:pPr>
        <w:pStyle w:val="20"/>
        <w:spacing w:line="520" w:lineRule="exact"/>
        <w:ind w:firstLine="0" w:firstLineChars="0"/>
        <w:jc w:val="center"/>
        <w:rPr>
          <w:rFonts w:hint="eastAsia" w:ascii="宋体" w:hAnsi="宋体" w:cs="Times New Roman"/>
          <w:b/>
          <w:bCs/>
          <w:sz w:val="24"/>
          <w:lang w:val="en-US" w:eastAsia="zh-CN"/>
        </w:rPr>
      </w:pPr>
      <w:r>
        <w:rPr>
          <w:rFonts w:hint="eastAsia" w:ascii="宋体" w:hAnsi="宋体" w:cs="Times New Roman"/>
          <w:b/>
          <w:bCs/>
          <w:sz w:val="24"/>
          <w:lang w:val="en-US" w:eastAsia="zh-CN"/>
        </w:rPr>
        <w:t>图4.1-1 应急响应流程图</w:t>
      </w:r>
    </w:p>
    <w:p w14:paraId="63571EC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47" w:name="_Toc186122732"/>
      <w:bookmarkStart w:id="48" w:name="_Toc186123037"/>
      <w:bookmarkStart w:id="49" w:name="_Toc186124190"/>
      <w:bookmarkStart w:id="50" w:name="_Toc4623"/>
      <w:bookmarkStart w:id="51" w:name="_Toc30252"/>
      <w:bookmarkStart w:id="52" w:name="_Toc186125025"/>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.1</w:t>
      </w:r>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lang w:val="en-US" w:eastAsia="zh-CN"/>
        </w:rPr>
        <w:t>信息收集与研判</w:t>
      </w:r>
      <w:bookmarkEnd w:id="47"/>
      <w:bookmarkEnd w:id="48"/>
      <w:bookmarkEnd w:id="49"/>
      <w:bookmarkEnd w:id="50"/>
      <w:bookmarkEnd w:id="51"/>
      <w:bookmarkEnd w:id="52"/>
    </w:p>
    <w:p w14:paraId="6CD7E095">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.1.1 信息收集</w:t>
      </w:r>
    </w:p>
    <w:p w14:paraId="1360E5C0">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信息来源包括但不限于以下途径：通过流域、水源地或供水单位开展的水质监督性监测（常规断面）、在线监测（常规和预警监控断面）等日常监管渠道获取水质异常信息，也可以通过水文气象、地质灾害、污染源排放等信息开展水质预测预警，获取水质异常信息；通过水源地上游及周边主要风险源监控获取异常排放信息、相关部门报告、群众举报获取事故信息；通过各部门之间以及饮用水水源地上下游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之间建立的信息收集与共享渠道，获取突发环境事件信息。</w:t>
      </w:r>
    </w:p>
    <w:p w14:paraId="3261D8FF">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.1.2 信息研判与会商</w:t>
      </w:r>
    </w:p>
    <w:p w14:paraId="4E4DE2A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3" w:name="_Toc186124191"/>
      <w:bookmarkStart w:id="54" w:name="_Toc186122733"/>
      <w:bookmarkStart w:id="55" w:name="_Toc186125026"/>
      <w:bookmarkStart w:id="56" w:name="_Toc186123038"/>
      <w:r>
        <w:rPr>
          <w:rFonts w:hint="eastAsia" w:ascii="宋体" w:hAnsi="宋体" w:eastAsia="宋体" w:cs="宋体"/>
          <w:color w:val="auto"/>
          <w:sz w:val="28"/>
          <w:szCs w:val="28"/>
          <w:lang w:val="en-US" w:eastAsia="zh-CN"/>
        </w:rPr>
        <w:t>通过群众举报、责任单位报告、相邻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通报等渠道获取突发事件信息后，第一时间开展信息研判和会商，第一时间核实信息真实性，必要时会同相关部门共同开展应急监测或补充调查，核实信息的准确性，收集更全面、更权威的资料信息。</w:t>
      </w:r>
      <w:bookmarkEnd w:id="53"/>
      <w:bookmarkEnd w:id="54"/>
      <w:bookmarkEnd w:id="55"/>
      <w:bookmarkEnd w:id="56"/>
    </w:p>
    <w:p w14:paraId="3224743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7" w:name="_Toc186122734"/>
      <w:bookmarkStart w:id="58" w:name="_Toc186125027"/>
      <w:bookmarkStart w:id="59" w:name="_Toc186124192"/>
      <w:bookmarkStart w:id="60" w:name="_Toc186123039"/>
      <w:r>
        <w:rPr>
          <w:rFonts w:hint="eastAsia" w:ascii="宋体" w:hAnsi="宋体" w:eastAsia="宋体" w:cs="宋体"/>
          <w:color w:val="auto"/>
          <w:sz w:val="28"/>
          <w:szCs w:val="28"/>
          <w:lang w:val="en-US" w:eastAsia="zh-CN"/>
        </w:rPr>
        <w:t>初步研判发生重大、特别重大突发环境事件，由市政府牵头应对，区政府配合。初步研判发生一般、较大突发环境事件，由区政府负责应对。</w:t>
      </w:r>
      <w:bookmarkEnd w:id="57"/>
      <w:bookmarkEnd w:id="58"/>
      <w:bookmarkEnd w:id="59"/>
      <w:bookmarkEnd w:id="60"/>
    </w:p>
    <w:p w14:paraId="70D81831">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61" w:name="_Toc26651"/>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2</w:t>
      </w:r>
      <w:r>
        <w:rPr>
          <w:rFonts w:hint="eastAsia" w:ascii="宋体" w:hAnsi="宋体" w:eastAsia="宋体" w:cs="宋体"/>
          <w:b/>
          <w:bCs/>
          <w:color w:val="000000"/>
          <w:sz w:val="28"/>
          <w:szCs w:val="28"/>
          <w:lang w:val="en-US" w:eastAsia="zh-CN"/>
        </w:rPr>
        <w:t xml:space="preserve"> </w:t>
      </w:r>
      <w:bookmarkStart w:id="62" w:name="_Toc186124151"/>
      <w:bookmarkStart w:id="63" w:name="_Toc186124976"/>
      <w:bookmarkStart w:id="64" w:name="_Toc186122991"/>
      <w:r>
        <w:rPr>
          <w:rFonts w:hint="eastAsia" w:ascii="宋体" w:hAnsi="宋体" w:eastAsia="宋体" w:cs="宋体"/>
          <w:b/>
          <w:bCs/>
          <w:color w:val="000000"/>
          <w:sz w:val="28"/>
          <w:szCs w:val="28"/>
          <w:lang w:val="en-US" w:eastAsia="zh-CN"/>
        </w:rPr>
        <w:t>预警</w:t>
      </w:r>
      <w:bookmarkEnd w:id="61"/>
      <w:bookmarkEnd w:id="62"/>
      <w:bookmarkEnd w:id="63"/>
      <w:bookmarkEnd w:id="64"/>
    </w:p>
    <w:p w14:paraId="3CD81B97">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预警分级</w:t>
      </w:r>
    </w:p>
    <w:p w14:paraId="36089B5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按照开州区的要求</w:t>
      </w:r>
      <w:r>
        <w:rPr>
          <w:rFonts w:hint="eastAsia" w:ascii="宋体" w:hAnsi="宋体" w:eastAsia="宋体" w:cs="宋体"/>
          <w:color w:val="auto"/>
          <w:sz w:val="28"/>
          <w:szCs w:val="28"/>
          <w:lang w:val="en-US" w:eastAsia="zh-CN"/>
        </w:rPr>
        <w:t>，水源地突发环境事件的预警级别由低到高分为橙色和红色两级。</w:t>
      </w:r>
    </w:p>
    <w:p w14:paraId="1E68C98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橙色预警：当污染物迁移至水源地应急预案适用范围，但水源地保护区或其上游连接水体尚未受到污染，</w:t>
      </w:r>
      <w:r>
        <w:rPr>
          <w:rFonts w:hint="eastAsia" w:cs="宋体"/>
          <w:color w:val="auto"/>
          <w:sz w:val="28"/>
          <w:szCs w:val="28"/>
          <w:lang w:val="en-US" w:eastAsia="zh-CN"/>
        </w:rPr>
        <w:t>或</w:t>
      </w:r>
      <w:r>
        <w:rPr>
          <w:rFonts w:hint="eastAsia" w:ascii="宋体" w:hAnsi="宋体" w:eastAsia="宋体" w:cs="宋体"/>
          <w:color w:val="auto"/>
          <w:sz w:val="28"/>
          <w:szCs w:val="28"/>
          <w:lang w:val="en-US" w:eastAsia="zh-CN"/>
        </w:rPr>
        <w:t>污染物已进入水源保护区上游连接水体，研判认为对水源地水质影响可能较小、可能不影响取水时，为橙色预警。</w:t>
      </w:r>
    </w:p>
    <w:p w14:paraId="5CE48FE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红色预警：当污染物已进入（或出现在）水源地保护区或其上游连接水体，研判认为对水源地水质影响可能较大时、可能影响取水时，为红色预警。</w:t>
      </w:r>
    </w:p>
    <w:p w14:paraId="18C43D7F">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上述分级标准中，生态环境部、市生态环境局、区生态环境局及有关部门有规定的，从其规定。对特殊的突发环境事件，可能演化为重大、特别重大事故的，不受分级标准限制。</w:t>
      </w:r>
    </w:p>
    <w:p w14:paraId="437AAB2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4.2.2 预警的启动条件</w:t>
      </w:r>
    </w:p>
    <w:p w14:paraId="0EAE866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2.1</w:t>
      </w:r>
      <w:r>
        <w:rPr>
          <w:rFonts w:hint="eastAsia" w:ascii="宋体" w:hAnsi="宋体" w:eastAsia="宋体" w:cs="宋体"/>
          <w:color w:val="auto"/>
          <w:sz w:val="28"/>
          <w:szCs w:val="28"/>
          <w:lang w:val="en-US" w:eastAsia="zh-CN"/>
        </w:rPr>
        <w:t xml:space="preserve"> 橙色预警启动条件</w:t>
      </w:r>
    </w:p>
    <w:p w14:paraId="7A3D99F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ascii="Times New Roman" w:hAnsi="Times New Roman" w:eastAsia="方正仿宋_GBK"/>
          <w:kern w:val="0"/>
          <w:sz w:val="32"/>
          <w:szCs w:val="32"/>
        </w:rPr>
      </w:pPr>
      <w:r>
        <w:rPr>
          <w:rFonts w:hint="eastAsia" w:ascii="宋体" w:hAnsi="宋体" w:eastAsia="宋体" w:cs="宋体"/>
          <w:color w:val="auto"/>
          <w:sz w:val="28"/>
          <w:szCs w:val="28"/>
          <w:lang w:val="en-US" w:eastAsia="zh-CN"/>
        </w:rPr>
        <w:t>接到上级指令或信息通报后，虽污染物未迁移至水源地应急预案适用范围，但污染物已进入水源保护区上游连接水体，经研判认为对水源地水质可能造成污染，不影响取水；通过信息报告发现，污染物已扩散至距水源保护区上游连接水体的直线距离不足1千米的陆域或水域；污染物已进入水源保护区上游连接水体，经研判认为对水源地水质影响可能较小、可能不影响取水。</w:t>
      </w:r>
    </w:p>
    <w:p w14:paraId="17CC76E3">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.2 红色预警启动条件</w:t>
      </w:r>
    </w:p>
    <w:p w14:paraId="47B220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接到上级指令或信息通报后，</w:t>
      </w:r>
      <w:r>
        <w:rPr>
          <w:rFonts w:hint="eastAsia" w:cs="宋体"/>
          <w:color w:val="auto"/>
          <w:sz w:val="28"/>
          <w:szCs w:val="28"/>
          <w:lang w:val="en-US" w:eastAsia="zh-CN"/>
        </w:rPr>
        <w:t>虽然</w:t>
      </w:r>
      <w:r>
        <w:rPr>
          <w:rFonts w:hint="eastAsia" w:ascii="宋体" w:hAnsi="宋体" w:eastAsia="宋体" w:cs="宋体"/>
          <w:color w:val="auto"/>
          <w:sz w:val="28"/>
          <w:szCs w:val="28"/>
          <w:lang w:val="en-US" w:eastAsia="zh-CN"/>
        </w:rPr>
        <w:t>污染物未迁移至水源地应急预案适用的地域范围内，但污染物已进入水源保护区上游连接水体，研判认为对饮用水水源地水质有影响，可能影响取水；通过信息报告发现，在水源地一级、二级保护区内发生突发环境事件；通过信息报告发现，在二级保护区上游汇水区域4小时流程范围内发生固定源或流动源突发环境事件，或污染物已扩散至距水源保护区上游连接水体的直线距离不足100米的陆域或水域；通过信息报告发现，在二级保护区上游汇水区域8小时流程范围内发生固定源或流动源突发环境事件，或污染物已扩散至距水源保护区上游连接水体的直线距离不足200米的陆域或水域，经水质监测和信息研判，判断污染物迁移至取水口位置时，相应指标浓度仍会超标的；通过监测发现，水源保护区或其上游连接水体理化指标异常〔主要包括：在二级保护区内，出现自动站水质监测指标超标或生物综合毒性异常，经实验室监（复）测确认的；在二级保护区上游8小时流程范围内，出现水质监测指标、有毒有害物质或生物综合毒性异常，且污染物浓度持续升高的；在二级保护区上游4小时流程范围内，出现水质监测指标、有毒有害物质或生物综合毒性异常的〕；通过监测发现，水源保护区或其上游连接水体感官性状异常，即水体出现异常颜色或气味的；通过监测发现，水源保护区或其上游连接水体生态指标异常，即水面出现大面积死鱼或生物综合毒性异常并经实验室监测后确认的。</w:t>
      </w:r>
    </w:p>
    <w:p w14:paraId="187EC6B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4.2.3 发布预警和预警级别调整</w:t>
      </w:r>
    </w:p>
    <w:p w14:paraId="433C3D9C">
      <w:pPr>
        <w:pStyle w:val="5"/>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left"/>
        <w:textAlignment w:val="auto"/>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2</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3.1</w:t>
      </w:r>
      <w:r>
        <w:rPr>
          <w:rFonts w:hint="eastAsia" w:asciiTheme="minorEastAsia" w:hAnsiTheme="minorEastAsia" w:eastAsiaTheme="minorEastAsia" w:cstheme="minorEastAsia"/>
          <w:b w:val="0"/>
          <w:bCs w:val="0"/>
          <w:sz w:val="28"/>
          <w:szCs w:val="28"/>
          <w:lang w:eastAsia="zh-CN"/>
        </w:rPr>
        <w:t xml:space="preserve"> 预警发布</w:t>
      </w:r>
    </w:p>
    <w:p w14:paraId="7E4D01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橙色预警和红色预警由区政府及其指定部门发布或上级人民政府及其指定部门发布。</w:t>
      </w:r>
    </w:p>
    <w:p w14:paraId="095BA20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预警发布内容应包括但不限于以下内容：类别、预警级别；事件起止时间、可能影响的范围；应采取的措施和发布机关。</w:t>
      </w:r>
    </w:p>
    <w:p w14:paraId="5290242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预警对象：根据不同的突发水环境事件类型，对组织实施预警行动和应急处置行动的部门和单位发布预警。</w:t>
      </w:r>
    </w:p>
    <w:p w14:paraId="3194EC09">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4.2.3.2 预警调整</w:t>
      </w:r>
    </w:p>
    <w:p w14:paraId="119AEEE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发布单位应当根据事态的发展情况和采取措施的效果，按照有关规定适时调整预警级别。证明不可能发生突发环境事件或危险已经解除的，预警信息发布单位应当及时宣布解除预警，并停止采取有关措施。</w:t>
      </w:r>
    </w:p>
    <w:p w14:paraId="12D950C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 xml:space="preserve"> 预警行动</w:t>
      </w:r>
    </w:p>
    <w:p w14:paraId="041F873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橙色预警时，预警行动包含但不限于以下内容：通报相关部门或单位及涉事企业突发环境事件信息，指导启动本部门或单位应急预案；各有关部门或单位按照各自职责开展应急监测或做好应急监测准备；启动备用水源调度准备，调集应急处置所需物资装备，做好应急处置的保障工作；按照职责，各有关部门或单位进入待命状态，必要时到达现场开展相关工作；及时准确发布事态最新情况，加强相关舆情监测，做好舆论引导工作等。</w:t>
      </w:r>
    </w:p>
    <w:p w14:paraId="69F6831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红色预警时，预警行动包含但不限于以下内容：下达启动饮用水水源地应急预案的命令；通知有关单位和人员做好应急准备，进入待命状态，必要时到达现场开展相关工作；通知饮用水水源地供水单位进入待命状态，做好停止取水、深度处理、低压供水或启动备用水源等准备；加强信息监控，核实突发环境事件污染来源、进入水体的污染物种类和总量、污染扩散范围等信息；开展应急监测或做好应急监测准备；做好事件信息上报和通报；调集所需应急物资和设备，做好应急保障；在危险区域设置提示或警告标志；必要时，及时通过媒体向公众发布信息；加强舆情监测、引导和应对工作等。</w:t>
      </w:r>
    </w:p>
    <w:p w14:paraId="37E2DCE0">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.2.5</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预警解除</w:t>
      </w:r>
    </w:p>
    <w:p w14:paraId="2F1D19E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65" w:name="_Toc186125029"/>
      <w:bookmarkStart w:id="66" w:name="_Toc186122736"/>
      <w:bookmarkStart w:id="67" w:name="_Toc186124194"/>
      <w:bookmarkStart w:id="68" w:name="_Toc186123041"/>
      <w:r>
        <w:rPr>
          <w:rFonts w:hint="eastAsia" w:ascii="宋体" w:hAnsi="宋体" w:eastAsia="宋体" w:cs="宋体"/>
          <w:color w:val="auto"/>
          <w:sz w:val="28"/>
          <w:szCs w:val="28"/>
          <w:lang w:val="en-US" w:eastAsia="zh-CN"/>
        </w:rPr>
        <w:t>当引起预警的条件消除和各类隐患排除后，饮用水水源地水质及供水不会受到影响时，由发布预警的单位下达预警解除指令，终止已经采取的有关行动和措施。</w:t>
      </w:r>
      <w:bookmarkEnd w:id="65"/>
      <w:bookmarkEnd w:id="66"/>
      <w:bookmarkEnd w:id="67"/>
      <w:bookmarkEnd w:id="68"/>
    </w:p>
    <w:p w14:paraId="7DE44A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69" w:name="_Toc186122992"/>
      <w:bookmarkStart w:id="70" w:name="_Toc186124977"/>
      <w:bookmarkStart w:id="71" w:name="_Toc186124152"/>
      <w:bookmarkStart w:id="72" w:name="_Toc25155"/>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3</w:t>
      </w:r>
      <w:r>
        <w:rPr>
          <w:rFonts w:hint="eastAsia" w:ascii="宋体" w:hAnsi="宋体" w:eastAsia="宋体" w:cs="宋体"/>
          <w:b/>
          <w:bCs/>
          <w:color w:val="000000"/>
          <w:sz w:val="28"/>
          <w:szCs w:val="28"/>
          <w:lang w:val="en-US" w:eastAsia="zh-CN"/>
        </w:rPr>
        <w:t xml:space="preserve"> </w:t>
      </w:r>
      <w:bookmarkEnd w:id="69"/>
      <w:bookmarkEnd w:id="70"/>
      <w:bookmarkEnd w:id="71"/>
      <w:r>
        <w:rPr>
          <w:rFonts w:hint="eastAsia" w:ascii="宋体" w:hAnsi="宋体" w:eastAsia="宋体" w:cs="宋体"/>
          <w:b/>
          <w:bCs/>
          <w:color w:val="000000"/>
          <w:sz w:val="28"/>
          <w:szCs w:val="28"/>
          <w:lang w:val="en-US" w:eastAsia="zh-CN"/>
        </w:rPr>
        <w:t>信息报告与通报</w:t>
      </w:r>
      <w:bookmarkEnd w:id="72"/>
    </w:p>
    <w:p w14:paraId="4F3136C2">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4.3.1 信息报告与通报原则及对象</w:t>
      </w:r>
    </w:p>
    <w:p w14:paraId="310D896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突发环境事件发生后，涉事企业、生产经营者应当立即向区生态环境局（023-52226422）或区政府（023-52012345）报告事态发展情况和先期处置情况。</w:t>
      </w:r>
    </w:p>
    <w:p w14:paraId="670DEDB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温泉镇人民政府在发现或得知水源地突发环境事件信息后，应立即进行核实，了解有关情况。核实后，第一时间向区指挥部办公室等有关部门或单位报告。经核实的水源地突发环境事件，向突发环境事件相关部门或单位进行信息通报。温泉镇人民政府有关部门和单位要采取一切措施尽快掌握情况，30分钟内进行电话报告、1小时内进行书面报告。</w:t>
      </w:r>
    </w:p>
    <w:p w14:paraId="7771E9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发生突发环境事件后，</w:t>
      </w:r>
      <w:r>
        <w:rPr>
          <w:rFonts w:hint="eastAsia" w:cs="宋体"/>
          <w:color w:val="auto"/>
          <w:sz w:val="28"/>
          <w:szCs w:val="28"/>
          <w:lang w:val="en-US" w:eastAsia="zh-CN"/>
        </w:rPr>
        <w:t>温泉镇人民政府</w:t>
      </w:r>
      <w:r>
        <w:rPr>
          <w:rFonts w:hint="eastAsia" w:ascii="宋体" w:hAnsi="宋体" w:eastAsia="宋体" w:cs="宋体"/>
          <w:color w:val="auto"/>
          <w:sz w:val="28"/>
          <w:szCs w:val="28"/>
          <w:lang w:val="en-US" w:eastAsia="zh-CN"/>
        </w:rPr>
        <w:t>要及时向区生态环境局</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区政府有关部门通报。因生产安全事故、交通事故、自然灾害等引发突发环境事件的，及时向区应急管理、公安、交通</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生态环境局等有关部门通报。</w:t>
      </w:r>
    </w:p>
    <w:p w14:paraId="17001AF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突发环境事件已经或可能涉及相邻行政区域的，应当及时通报相邻行政区域政府。接到相邻行政区域通报的政府应当及时调查了解情况，并按照相关规定报告突发环境事件信息。</w:t>
      </w:r>
    </w:p>
    <w:p w14:paraId="47A4FE09">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4.3.2 信息报告与通报程序及内容</w:t>
      </w:r>
    </w:p>
    <w:p w14:paraId="7DBE2A3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初报。报告内容主要包括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71639B4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续报。在初报的基础上，报告事件及有关处置措施的进展情况。</w:t>
      </w:r>
    </w:p>
    <w:p w14:paraId="128052F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终报。在初报、续报的基础上，报告突发环境事件的处置措施、过程和结果等详细情况。</w:t>
      </w:r>
    </w:p>
    <w:p w14:paraId="37AAEE2F">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3" w:name="_Toc3988"/>
      <w:r>
        <w:rPr>
          <w:rFonts w:hint="eastAsia" w:ascii="宋体" w:hAnsi="宋体" w:eastAsia="宋体" w:cs="宋体"/>
          <w:b/>
          <w:bCs/>
          <w:color w:val="000000"/>
          <w:sz w:val="28"/>
          <w:szCs w:val="28"/>
          <w:lang w:val="en-US" w:eastAsia="zh-CN"/>
        </w:rPr>
        <w:t>4.4 事态跟踪研判</w:t>
      </w:r>
      <w:bookmarkEnd w:id="73"/>
    </w:p>
    <w:p w14:paraId="378B222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现场应急指挥部组织开展事态跟踪研判。事态跟踪研判包括但不限于以下内容：事故点下游沿河水利设施工程情况、判断污染物进入河流或水库的数量及种类性质、事故点下游水系分布（包括清洁水情况）、距离水源地取水口的距离和可能对水源地造成的危害，以及备用水源地情况。根据事态跟踪研判的结果，制定和动态调整应急响应有关方案、实施应急监测、污染源排查与处置和应急处置方法。</w:t>
      </w:r>
    </w:p>
    <w:p w14:paraId="4947EA0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4" w:name="_Toc16945"/>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.5 应急监测</w:t>
      </w:r>
      <w:bookmarkEnd w:id="74"/>
    </w:p>
    <w:p w14:paraId="379572DC">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4.5.1 开展应急监测程序</w:t>
      </w:r>
    </w:p>
    <w:p w14:paraId="0CFAD8D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初期，各有关部门或单位应按照各自职责，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4C19C8C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事件处置中期，应根据事态发展，如上游来水量、应急处置措施效果等情况，适时调整监测点位（断面）和监测频次。</w:t>
      </w:r>
    </w:p>
    <w:p w14:paraId="4CFE2CA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事件处置末期，应按照现场应急指挥部命令，开展跟踪监测，并向现场应急指挥部提交应急监测总结报告。</w:t>
      </w:r>
    </w:p>
    <w:p w14:paraId="1372BF82">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4.5.2 制定应急监测方案</w:t>
      </w:r>
    </w:p>
    <w:p w14:paraId="1F4AFB7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根据突发事件性质，征询应急专家组意见，编制应急监测方案，内容应包括依据的技术规范、实施人员、布点原则、采样频次和注意事项、监测结果记录和报告方式等。</w:t>
      </w:r>
    </w:p>
    <w:p w14:paraId="7AC5B23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应急监测重点是抓住污染带前峰、峰值位置和浓度变化，对污染带移动过程形成动态监控。当污染来源不明时，应先通过应</w:t>
      </w:r>
    </w:p>
    <w:p w14:paraId="0F9349E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急监测确定特征污染物成分，再进行污染源排查和先期处置。监测范围、布点、频次及监测因子按如下原则进行布置：</w:t>
      </w:r>
    </w:p>
    <w:p w14:paraId="66B613E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（1）监测范围</w:t>
      </w:r>
    </w:p>
    <w:p w14:paraId="02ECB9A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应尽量涵盖水源地突发环境事件的污染范围，并包括事件可能影响区域和污染物本底浓度的监测区域。</w:t>
      </w:r>
    </w:p>
    <w:p w14:paraId="2C9F9A6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（2）监测布点和频次</w:t>
      </w:r>
    </w:p>
    <w:p w14:paraId="16211D5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一般为1小时）同步采样监测方式，动态监控污染带移动过程。</w:t>
      </w:r>
    </w:p>
    <w:p w14:paraId="51D492F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①针对固定源突发环境事件，应对固定源排放口附近水域、下游水源地附近水域进行加密跟踪监测。</w:t>
      </w:r>
    </w:p>
    <w:p w14:paraId="1C4E64F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②针对流动源、非点源突发环境事件，应对事发区域下游水域、下游水源地附近进行加密跟踪监测。</w:t>
      </w:r>
    </w:p>
    <w:p w14:paraId="2D96795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③水华灾害突发事件若发生在一级、二级保护区范围，应对取水口不同水层进行加密跟踪监测。</w:t>
      </w:r>
    </w:p>
    <w:p w14:paraId="3563752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通常采集瞬时样品，采样量根据分析项目及分析方法确定，采样量还应满足留样要求。污染发生后，应首先采集污染源样品，注意采样的代表性。采样频次主要根据现场污染状况确定。事故刚发生时，采样频次可适当增加，待摸清污染物变化规律后，可减少采样频次。依据不同的环境区域功能和事故发生地的污染实际情况，力求以最低的采样频次，取得最有代表性的样品，既满足反映环境污染程度、范围的要求，又切实可行。</w:t>
      </w:r>
    </w:p>
    <w:p w14:paraId="21E724F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（3）现场采样</w:t>
      </w:r>
    </w:p>
    <w:p w14:paraId="7108087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①根据我区实际，配置常用的现场应急监测仪器设备，如检测试纸、快速检测管和便携式检测仪设备。需要时，配置便携式气相色谱仪、便携式红外光谱仪、便携式气相色谱/质谱分析仪等应急监测仪器。</w:t>
      </w:r>
    </w:p>
    <w:p w14:paraId="1647EF1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凡具备现场测定条件的监测项目，应尽量进行现场测定，必要时，另采集一份样品送实验室分析测定，以确认现场的定性或定量分析结果。用检测试纸、快速检测管和便携式仪器进行测定时，应至少连续平行测定两侧，以确认现场测定结果。采样频次应考虑污染程度和现场水文条件，按照应急专家组的意见确定。</w:t>
      </w:r>
    </w:p>
    <w:p w14:paraId="1901439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（4）监测项目。监测因子包括pH值、化学需氧量、氨氮、总磷、总氮等。可根据突发环境事件特征，删减或补充相关监测因子。</w:t>
      </w:r>
    </w:p>
    <w:p w14:paraId="0B2F1F7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（5）监测结果与数据报告。应按照有关监测技术规范进行数据处理。监测结果可用定性、半定量或定量方式报出。监测结果可采用电话、传真、快报、简报、监测报告等形式第一时间报告现场应急指挥部。</w:t>
      </w:r>
    </w:p>
    <w:p w14:paraId="0FE37EA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ascii="Times New Roman" w:hAnsi="Times New Roman" w:eastAsia="方正仿宋_GBK"/>
        </w:rPr>
      </w:pPr>
      <w:r>
        <w:rPr>
          <w:rFonts w:hint="eastAsia" w:ascii="宋体" w:hAnsi="宋体" w:eastAsia="宋体" w:cs="宋体"/>
          <w:color w:val="auto"/>
          <w:sz w:val="28"/>
          <w:szCs w:val="28"/>
          <w:lang w:val="en-US" w:eastAsia="zh-CN"/>
        </w:rPr>
        <w:t>（6）监测数据的质量保证。应急监测过程中的样品采集、现场监测、实验室监测、数据统计等环节，都应有质量控制措施，并对应急监测报告实行三级审核。</w:t>
      </w:r>
    </w:p>
    <w:p w14:paraId="587F4E0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5" w:name="_Toc186125031"/>
      <w:bookmarkStart w:id="76" w:name="_Toc186122738"/>
      <w:bookmarkStart w:id="77" w:name="_Toc186124196"/>
      <w:bookmarkStart w:id="78" w:name="_Toc186123043"/>
      <w:bookmarkStart w:id="79" w:name="_Toc4315"/>
      <w:r>
        <w:rPr>
          <w:rFonts w:hint="eastAsia" w:ascii="宋体" w:hAnsi="宋体" w:eastAsia="宋体" w:cs="宋体"/>
          <w:b/>
          <w:bCs/>
          <w:color w:val="000000"/>
          <w:sz w:val="28"/>
          <w:szCs w:val="28"/>
          <w:lang w:val="en-US" w:eastAsia="zh-CN"/>
        </w:rPr>
        <w:t>4.6 事故源排查与处置</w:t>
      </w:r>
      <w:bookmarkEnd w:id="75"/>
      <w:bookmarkEnd w:id="76"/>
      <w:bookmarkEnd w:id="77"/>
      <w:bookmarkEnd w:id="78"/>
      <w:bookmarkEnd w:id="79"/>
    </w:p>
    <w:p w14:paraId="44F090B8">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4.6.1 排查对象</w:t>
      </w:r>
    </w:p>
    <w:p w14:paraId="18248F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水质监测发现异常、污染物来源不确定时，由综合协调组负责开展溯源分析。综合协调组根据应急监测确定特征污染物成分，再结合特征污染物浓度变化、释放总量、释放路径、释放时间，以及当时的水文和气象条件，迅速组织开展事故源排查。针对不同类型污染物的排查重点和对象如下。</w:t>
      </w:r>
    </w:p>
    <w:p w14:paraId="1A36113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（1）有机类、营养盐类污染：重点排查城镇生活污水处理厂、工业企业等的异常情况。</w:t>
      </w:r>
    </w:p>
    <w:p w14:paraId="4EA2BF3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营养盐类污染：重点排查城镇生活污水处理厂、工业企业、畜禽养殖场（户）、农田种植户、农村居民点、医疗场所等，调查污水处理设施运行、养殖废物处理处置、农药化肥施用、农村生活污染、医疗废水处理及消毒设施的异常情况。</w:t>
      </w:r>
    </w:p>
    <w:p w14:paraId="58A1329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（3）细菌类污染：重点排查调查污水处理设施运行、医疗场所等的异常情况。</w:t>
      </w:r>
    </w:p>
    <w:p w14:paraId="7EAD0F1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（4）农药类污染：重点排查农药制造有关的工业企业、果园种植园（户）、农田种植户、农灌退水排放口，调查农药施用和流失的异常情况。</w:t>
      </w:r>
    </w:p>
    <w:p w14:paraId="11979D1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（5）石油类污染：重点排查加油站、运输车辆、运输船舶、油气管线，调查上述企业和单位的异常情况。</w:t>
      </w:r>
    </w:p>
    <w:p w14:paraId="3AB75EA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重金属及其他有毒有害物质污染：重点排查采矿及选矿的工业企业（含化工园区）、尾矿库、危险废物储存单位、危险品仓库和装卸码头、危化品运输船舶、危化品运输车辆等，调查上述企业和单位的异常情况。</w:t>
      </w:r>
    </w:p>
    <w:p w14:paraId="38E223E3">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4.6.2 切断污染源</w:t>
      </w:r>
    </w:p>
    <w:p w14:paraId="0AB8550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涉事企事业单位或其他生产经营者应第一时间启动应急预案，切断固定的、流动的或非点源的污染源或泄漏源，若涉事企事业单位或其他生产经营者无法有效控制污染源，应将污染源信息上报应急处置组，由应急处置组组织实施事故源切断或控制。处置措施主要采取切断污染源、收集和围堵污染物等，包括但不限于以下内容。</w:t>
      </w:r>
    </w:p>
    <w:p w14:paraId="6C12A14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（1）对发生非正常排放或有毒有害物质泄漏的固定源突发环境事件，应尽快采取关闭、封堵、收集、转移等措施，切断污染源或泄漏源。</w:t>
      </w:r>
    </w:p>
    <w:p w14:paraId="363FCD5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（2）对道路交通运输过程中发生的流动源突发事件，可启动路面系统的导流槽、应急池或紧急设置围堰、闸坝等，对污染源进行围堵并收集污染物。</w:t>
      </w:r>
    </w:p>
    <w:p w14:paraId="0D3856D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（3）对水上船舶运输过程中发生的流动源突发事件，主要采取救援打捞、油毡吸附、围油栏等方式，对污染源进行围堵并收集污染物。</w:t>
      </w:r>
    </w:p>
    <w:p w14:paraId="0EE82A3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（4）启动应急收集系统集中收集陆域污染物，设立拦截设施，防止污染物在陆域蔓延，组织有关部门对污染物进行回收处置。</w:t>
      </w:r>
    </w:p>
    <w:p w14:paraId="51FBE52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（5）根据现场事态发展对扩散至水体的污染物进行处置。</w:t>
      </w:r>
    </w:p>
    <w:p w14:paraId="7C0469B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80" w:name="_Toc28365"/>
      <w:bookmarkStart w:id="81" w:name="_Toc186125032"/>
      <w:bookmarkStart w:id="82" w:name="_Toc186124197"/>
      <w:bookmarkStart w:id="83" w:name="_Toc6985"/>
      <w:bookmarkStart w:id="84" w:name="_Toc186122739"/>
      <w:bookmarkStart w:id="85" w:name="_Toc186123044"/>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.7 应急处置</w:t>
      </w:r>
      <w:bookmarkEnd w:id="80"/>
      <w:bookmarkEnd w:id="81"/>
      <w:bookmarkEnd w:id="82"/>
      <w:bookmarkEnd w:id="83"/>
      <w:bookmarkEnd w:id="84"/>
      <w:bookmarkEnd w:id="85"/>
    </w:p>
    <w:p w14:paraId="02BD70EE">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4.7.1 制定现场处置方案</w:t>
      </w:r>
    </w:p>
    <w:p w14:paraId="6DB11F1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现场应急指挥部应根据污染特征，结合专家组意见，尽快制定现场处置方案。现场处置方案包括但不限于以下内容：应急监测、污染处置措施、物资调集、应急队伍和人员安排、供水单位应对等。采取拦截、导流、疏浚等形式防止水体污染扩大；采取隔离、吸附、打捞、氧化还原、中和、去污洗消、临时收贮、转移异地处置、临时改造污染处置工艺或临时建设污染处置工程等方法处置污染物。必要时，要求其他排污单位停产、限产、限排，减轻环境污染负荷。水源地突发环境事故典型情景及应对处置措施如下。</w:t>
      </w:r>
    </w:p>
    <w:p w14:paraId="4604E35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（1）水华灾害突发事件。</w:t>
      </w:r>
    </w:p>
    <w:p w14:paraId="567CCFD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依据HJ1098水华程度分级标准及相关技术规范，对一级、二级水源保护区发生轻度水华的区域，定期、不定期组织重点水域岸线巡查及湖面观测；在重点水域组织增氧曝气作业，在满足防汛等安全的条件下，加大重点水域水体置换流量，改善水动力条件；加大重点水域藻类拦截、藻水打捞、藻水处理等作业量。对一级、二级水源保护区发生中度水华的区域，驻守重点水域，组织岸线巡查，直至水华消退；加大重点水域增氧曝气作业量；在满足防汛等安全的条件下，持续加大重点水域水体置换流量，改善水动力条件；在驻守处理的基础上，增配人员、物资、设施设备等机动力量，持续加大重点水域藻类拦截、藻水打捞、藻水处理等的作业量；加强湖面观测，及时组织藻类围捕作业。对一级、二级水源保护区的发生重度水华区域，驻守重点水域，加大组织岸线巡查力度，直至水华消退；集中调配人员、物资、设施设备等机动力量，依据水库水域功能分区及敏感程度，以防范藻类水华大面积、高密度堆积，发白发臭为目标，渐次保障重点水域；重点水域持续加大增氧曝气作业量；在满足防汛等安全的条件下，持续加大重点水域水体置换流量，改善水动力条件；藻水打捞、藻水处理等设施设备，保持满负荷运行，驻守湖面观测，持续组织藻类围捕作业。</w:t>
      </w:r>
    </w:p>
    <w:p w14:paraId="5C2F7F3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（2）油类污染事件</w:t>
      </w:r>
    </w:p>
    <w:p w14:paraId="02547A5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油污呈连续带状分布时，在取水口铺设拦油隔离设施，驱离油污，并实时观察反应池和沉淀池池面情况；当出现大量油污，整个水源地油污呈面状分布时，在取水口围油设施内铺设吸油毡，油污进入沉淀池时增加吸油毡铺设，以不进入集水槽为原则；若含油污水进入反应池后半部，一泵停止取水，在取水口水面铺设围油栏，水厂投加粉末活性炭，投率为15公斤/千吨</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20公斤/千吨。</w:t>
      </w:r>
    </w:p>
    <w:p w14:paraId="3FC173E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（3）水体内污染物治理、总量或浓度削减</w:t>
      </w:r>
    </w:p>
    <w:p w14:paraId="6258CD0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应急专家组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度。</w:t>
      </w:r>
    </w:p>
    <w:p w14:paraId="58A5AB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程设施拦截污染水体。结合涉饮用水水源地河流的“一河一图一策”应急响应方案，充分利用流域环境应急设施和空间，在河道内启用或修建拦截坝、节制闸等工程设施拦截污染水体；通过导流渠将未受污染水体导流至污染水体下游，通过分流沟将污染水体分流至水源保护区外进行收集处置；利用前置库、缓冲池等工程设施，降低污染水体的污染物浓度，为应急处置争取时间。</w:t>
      </w:r>
    </w:p>
    <w:p w14:paraId="19BA286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事故废水处置措施</w:t>
      </w:r>
    </w:p>
    <w:p w14:paraId="2CB7BB7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1）设置拦截措施，避免事故废水流入河流，如以下河，铺设围油栏等拦截物品在河流上，对泄漏物质进行拦截，并向上报告。</w:t>
      </w:r>
    </w:p>
    <w:p w14:paraId="2F22598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2）设置导流设施将事故废水引流，避免污染范围扩大。</w:t>
      </w:r>
    </w:p>
    <w:p w14:paraId="093ADB2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3）对拦截的事故废水，用潜油泵进行收集。</w:t>
      </w:r>
    </w:p>
    <w:p w14:paraId="6B6A082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4）对收集的废水进行处置，处置达标后排放。如不能处置应委托有资质的单位进行处置。</w:t>
      </w:r>
    </w:p>
    <w:p w14:paraId="0456DDA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6</w:t>
      </w:r>
      <w:r>
        <w:rPr>
          <w:rFonts w:hint="eastAsia" w:ascii="宋体" w:hAnsi="宋体" w:eastAsia="宋体" w:cs="宋体"/>
          <w:color w:val="auto"/>
          <w:sz w:val="28"/>
          <w:szCs w:val="28"/>
          <w:lang w:val="en-US" w:eastAsia="zh-CN"/>
        </w:rPr>
        <w:t>）饮用水水源深度处置。在水质受污染程度不严重的情</w:t>
      </w:r>
      <w:r>
        <w:rPr>
          <w:rFonts w:hint="eastAsia" w:cs="宋体"/>
          <w:color w:val="auto"/>
          <w:sz w:val="28"/>
          <w:szCs w:val="28"/>
          <w:lang w:val="en-US" w:eastAsia="zh-CN"/>
        </w:rPr>
        <w:t>况下</w:t>
      </w:r>
      <w:r>
        <w:rPr>
          <w:rFonts w:hint="eastAsia" w:ascii="宋体" w:hAnsi="宋体" w:eastAsia="宋体" w:cs="宋体"/>
          <w:color w:val="auto"/>
          <w:sz w:val="28"/>
          <w:szCs w:val="28"/>
          <w:lang w:val="en-US" w:eastAsia="zh-CN"/>
        </w:rPr>
        <w:t>，采用深度处理工艺（如臭氧-活性炭技术、生物活性炭技术、膜分离技术等）对来水进行处理，确保水厂出水水质达标。</w:t>
      </w:r>
    </w:p>
    <w:p w14:paraId="4BE9E76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针对污染物可采取的物理、化学、生物处理技术如表</w:t>
      </w:r>
      <w:r>
        <w:rPr>
          <w:rFonts w:hint="eastAsia" w:cs="宋体"/>
          <w:color w:val="auto"/>
          <w:sz w:val="28"/>
          <w:szCs w:val="28"/>
          <w:lang w:val="en-US" w:eastAsia="zh-CN"/>
        </w:rPr>
        <w:t>4.1</w:t>
      </w:r>
      <w:r>
        <w:rPr>
          <w:rFonts w:hint="eastAsia" w:ascii="宋体" w:hAnsi="宋体" w:eastAsia="宋体" w:cs="宋体"/>
          <w:color w:val="auto"/>
          <w:sz w:val="28"/>
          <w:szCs w:val="28"/>
          <w:lang w:val="en-US" w:eastAsia="zh-CN"/>
        </w:rPr>
        <w:t>-1所示。</w:t>
      </w:r>
    </w:p>
    <w:p w14:paraId="19A2881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482" w:firstLineChars="20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4.1-1</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适用于处理不同超标项目的推荐技术</w:t>
      </w:r>
    </w:p>
    <w:tbl>
      <w:tblPr>
        <w:tblStyle w:val="14"/>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3"/>
        <w:gridCol w:w="6481"/>
      </w:tblGrid>
      <w:tr w14:paraId="7A37D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bottom w:val="single" w:color="000000" w:sz="4" w:space="0"/>
              <w:right w:val="single" w:color="000000" w:sz="4" w:space="0"/>
            </w:tcBorders>
            <w:noWrap w:val="0"/>
            <w:vAlign w:val="center"/>
          </w:tcPr>
          <w:p w14:paraId="54F1D472">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超标项目</w:t>
            </w:r>
          </w:p>
        </w:tc>
        <w:tc>
          <w:tcPr>
            <w:tcW w:w="6481" w:type="dxa"/>
            <w:tcBorders>
              <w:left w:val="single" w:color="000000" w:sz="4" w:space="0"/>
              <w:bottom w:val="single" w:color="000000" w:sz="4" w:space="0"/>
            </w:tcBorders>
            <w:noWrap w:val="0"/>
            <w:vAlign w:val="center"/>
          </w:tcPr>
          <w:p w14:paraId="41DC4289">
            <w:pPr>
              <w:pStyle w:val="27"/>
              <w:keepNext w:val="0"/>
              <w:keepLines w:val="0"/>
              <w:pageBreakBefore w:val="0"/>
              <w:widowControl w:val="0"/>
              <w:tabs>
                <w:tab w:val="left" w:pos="556"/>
                <w:tab w:val="left" w:pos="1108"/>
                <w:tab w:val="left" w:pos="1660"/>
              </w:tabs>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推</w:t>
            </w:r>
            <w:r>
              <w:rPr>
                <w:rFonts w:hint="eastAsia" w:ascii="宋体" w:hAnsi="宋体" w:eastAsia="宋体" w:cs="宋体"/>
                <w:sz w:val="21"/>
                <w:szCs w:val="21"/>
              </w:rPr>
              <w:tab/>
            </w:r>
            <w:r>
              <w:rPr>
                <w:rFonts w:hint="eastAsia" w:ascii="宋体" w:hAnsi="宋体" w:eastAsia="宋体" w:cs="宋体"/>
                <w:sz w:val="21"/>
                <w:szCs w:val="21"/>
              </w:rPr>
              <w:t>荐</w:t>
            </w:r>
            <w:r>
              <w:rPr>
                <w:rFonts w:hint="eastAsia" w:ascii="宋体" w:hAnsi="宋体" w:eastAsia="宋体" w:cs="宋体"/>
                <w:sz w:val="21"/>
                <w:szCs w:val="21"/>
              </w:rPr>
              <w:tab/>
            </w:r>
            <w:r>
              <w:rPr>
                <w:rFonts w:hint="eastAsia" w:ascii="宋体" w:hAnsi="宋体" w:eastAsia="宋体" w:cs="宋体"/>
                <w:sz w:val="21"/>
                <w:szCs w:val="21"/>
              </w:rPr>
              <w:t>技</w:t>
            </w:r>
            <w:r>
              <w:rPr>
                <w:rFonts w:hint="eastAsia" w:ascii="宋体" w:hAnsi="宋体" w:eastAsia="宋体" w:cs="宋体"/>
                <w:sz w:val="21"/>
                <w:szCs w:val="21"/>
              </w:rPr>
              <w:tab/>
            </w:r>
            <w:r>
              <w:rPr>
                <w:rFonts w:hint="eastAsia" w:ascii="宋体" w:hAnsi="宋体" w:eastAsia="宋体" w:cs="宋体"/>
                <w:sz w:val="21"/>
                <w:szCs w:val="21"/>
              </w:rPr>
              <w:t>术</w:t>
            </w:r>
          </w:p>
        </w:tc>
      </w:tr>
      <w:tr w14:paraId="701BA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300F091">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浊度</w:t>
            </w:r>
          </w:p>
        </w:tc>
        <w:tc>
          <w:tcPr>
            <w:tcW w:w="6481" w:type="dxa"/>
            <w:tcBorders>
              <w:top w:val="single" w:color="000000" w:sz="4" w:space="0"/>
              <w:left w:val="single" w:color="000000" w:sz="4" w:space="0"/>
              <w:bottom w:val="single" w:color="000000" w:sz="4" w:space="0"/>
            </w:tcBorders>
            <w:noWrap w:val="0"/>
            <w:vAlign w:val="center"/>
          </w:tcPr>
          <w:p w14:paraId="2F7E111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快速砂滤池、絮凝、沉淀、过滤</w:t>
            </w:r>
          </w:p>
        </w:tc>
      </w:tr>
      <w:tr w14:paraId="6CD9E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490B1130">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色度</w:t>
            </w:r>
          </w:p>
        </w:tc>
        <w:tc>
          <w:tcPr>
            <w:tcW w:w="6481" w:type="dxa"/>
            <w:tcBorders>
              <w:top w:val="single" w:color="000000" w:sz="4" w:space="0"/>
              <w:left w:val="single" w:color="000000" w:sz="4" w:space="0"/>
              <w:bottom w:val="single" w:color="000000" w:sz="4" w:space="0"/>
            </w:tcBorders>
            <w:noWrap w:val="0"/>
            <w:vAlign w:val="center"/>
          </w:tcPr>
          <w:p w14:paraId="38DC9726">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9"/>
                <w:sz w:val="21"/>
                <w:szCs w:val="21"/>
                <w:lang w:eastAsia="zh-CN"/>
              </w:rPr>
              <w:t>快速砂滤池、絮凝；活性炭吸附；化学氧化预处理：臭氧、氯、高锰酸钾、</w:t>
            </w:r>
            <w:r>
              <w:rPr>
                <w:rFonts w:hint="eastAsia" w:ascii="宋体" w:hAnsi="宋体" w:eastAsia="宋体" w:cs="宋体"/>
                <w:spacing w:val="-5"/>
                <w:sz w:val="21"/>
                <w:szCs w:val="21"/>
                <w:lang w:eastAsia="zh-CN"/>
              </w:rPr>
              <w:t>二氧化氯</w:t>
            </w:r>
          </w:p>
        </w:tc>
      </w:tr>
      <w:tr w14:paraId="5867F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016DCF2D">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嗅味</w:t>
            </w:r>
          </w:p>
        </w:tc>
        <w:tc>
          <w:tcPr>
            <w:tcW w:w="6481" w:type="dxa"/>
            <w:tcBorders>
              <w:top w:val="single" w:color="000000" w:sz="4" w:space="0"/>
              <w:left w:val="single" w:color="000000" w:sz="4" w:space="0"/>
              <w:bottom w:val="single" w:color="000000" w:sz="4" w:space="0"/>
            </w:tcBorders>
            <w:noWrap w:val="0"/>
            <w:vAlign w:val="center"/>
          </w:tcPr>
          <w:p w14:paraId="1263DEA8">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化学氧化预处理：臭氧、氯、高锰酸钾、二氧化氯、活性炭</w:t>
            </w:r>
          </w:p>
        </w:tc>
      </w:tr>
      <w:tr w14:paraId="35D25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5C7E674B">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氟化物</w:t>
            </w:r>
          </w:p>
        </w:tc>
        <w:tc>
          <w:tcPr>
            <w:tcW w:w="6481" w:type="dxa"/>
            <w:tcBorders>
              <w:top w:val="single" w:color="000000" w:sz="4" w:space="0"/>
              <w:left w:val="single" w:color="000000" w:sz="4" w:space="0"/>
              <w:bottom w:val="single" w:color="000000" w:sz="4" w:space="0"/>
            </w:tcBorders>
            <w:noWrap w:val="0"/>
            <w:vAlign w:val="center"/>
          </w:tcPr>
          <w:p w14:paraId="4BED83C9">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5"/>
                <w:sz w:val="21"/>
                <w:szCs w:val="21"/>
                <w:lang w:eastAsia="zh-CN"/>
              </w:rPr>
              <w:t>吸附法：氧化铝、磷酸二钙；混凝沉淀法：硫酸铝、聚合氯化铝；离子交</w:t>
            </w:r>
            <w:r>
              <w:rPr>
                <w:rFonts w:hint="eastAsia" w:ascii="宋体" w:hAnsi="宋体" w:eastAsia="宋体" w:cs="宋体"/>
                <w:spacing w:val="-6"/>
                <w:sz w:val="21"/>
                <w:szCs w:val="21"/>
                <w:lang w:eastAsia="zh-CN"/>
              </w:rPr>
              <w:t>换法；电渗析法</w:t>
            </w:r>
          </w:p>
        </w:tc>
      </w:tr>
      <w:tr w14:paraId="4C1D0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95265D5">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氨氮</w:t>
            </w:r>
          </w:p>
        </w:tc>
        <w:tc>
          <w:tcPr>
            <w:tcW w:w="6481" w:type="dxa"/>
            <w:tcBorders>
              <w:top w:val="single" w:color="000000" w:sz="4" w:space="0"/>
              <w:left w:val="single" w:color="000000" w:sz="4" w:space="0"/>
              <w:bottom w:val="single" w:color="000000" w:sz="4" w:space="0"/>
            </w:tcBorders>
            <w:noWrap w:val="0"/>
            <w:vAlign w:val="center"/>
          </w:tcPr>
          <w:p w14:paraId="3B729F9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化学氧化预处理：氯、高锰酸钾；深度处理：臭氧-生物活性炭</w:t>
            </w:r>
          </w:p>
        </w:tc>
      </w:tr>
      <w:tr w14:paraId="5D395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69657E5">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铁、锰</w:t>
            </w:r>
          </w:p>
        </w:tc>
        <w:tc>
          <w:tcPr>
            <w:tcW w:w="6481" w:type="dxa"/>
            <w:tcBorders>
              <w:top w:val="single" w:color="000000" w:sz="4" w:space="0"/>
              <w:left w:val="single" w:color="000000" w:sz="4" w:space="0"/>
              <w:bottom w:val="single" w:color="000000" w:sz="4" w:space="0"/>
            </w:tcBorders>
            <w:noWrap w:val="0"/>
            <w:vAlign w:val="center"/>
          </w:tcPr>
          <w:p w14:paraId="0D44FD25">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锰砂；化学氧化预处理：氯、高锰酸钾；深度处理：臭氧-生物活性炭</w:t>
            </w:r>
          </w:p>
        </w:tc>
      </w:tr>
      <w:tr w14:paraId="71B55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BFB929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挥发性有机物</w:t>
            </w:r>
          </w:p>
        </w:tc>
        <w:tc>
          <w:tcPr>
            <w:tcW w:w="6481" w:type="dxa"/>
            <w:tcBorders>
              <w:top w:val="single" w:color="000000" w:sz="4" w:space="0"/>
              <w:left w:val="single" w:color="000000" w:sz="4" w:space="0"/>
              <w:bottom w:val="single" w:color="000000" w:sz="4" w:space="0"/>
            </w:tcBorders>
            <w:noWrap w:val="0"/>
            <w:vAlign w:val="center"/>
          </w:tcPr>
          <w:p w14:paraId="1D2DAFF8">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生物活性炭吸附</w:t>
            </w:r>
          </w:p>
        </w:tc>
      </w:tr>
      <w:tr w14:paraId="3E1E5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jc w:val="center"/>
        </w:trPr>
        <w:tc>
          <w:tcPr>
            <w:tcW w:w="2023" w:type="dxa"/>
            <w:tcBorders>
              <w:top w:val="single" w:color="000000" w:sz="4" w:space="0"/>
              <w:bottom w:val="single" w:color="000000" w:sz="4" w:space="0"/>
              <w:right w:val="single" w:color="000000" w:sz="4" w:space="0"/>
            </w:tcBorders>
            <w:noWrap w:val="0"/>
            <w:vAlign w:val="center"/>
          </w:tcPr>
          <w:p w14:paraId="335EA702">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三氯甲烷和腐殖酸</w:t>
            </w:r>
          </w:p>
        </w:tc>
        <w:tc>
          <w:tcPr>
            <w:tcW w:w="6481" w:type="dxa"/>
            <w:tcBorders>
              <w:top w:val="single" w:color="000000" w:sz="4" w:space="0"/>
              <w:left w:val="single" w:color="000000" w:sz="4" w:space="0"/>
              <w:bottom w:val="single" w:color="000000" w:sz="4" w:space="0"/>
            </w:tcBorders>
            <w:noWrap w:val="0"/>
            <w:vAlign w:val="center"/>
          </w:tcPr>
          <w:p w14:paraId="1A68689E">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2"/>
                <w:sz w:val="21"/>
                <w:szCs w:val="21"/>
                <w:lang w:eastAsia="zh-CN"/>
              </w:rPr>
              <w:t>前驱物的去除：强化混凝、粒状活性炭、生物活性炭；氯化副产物的去除：</w:t>
            </w:r>
            <w:r>
              <w:rPr>
                <w:rFonts w:hint="eastAsia" w:ascii="宋体" w:hAnsi="宋体" w:eastAsia="宋体" w:cs="宋体"/>
                <w:spacing w:val="-5"/>
                <w:sz w:val="21"/>
                <w:szCs w:val="21"/>
                <w:lang w:eastAsia="zh-CN"/>
              </w:rPr>
              <w:t>粒状活性炭</w:t>
            </w:r>
          </w:p>
        </w:tc>
      </w:tr>
      <w:tr w14:paraId="79BE7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75B69E4C">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有机化合物</w:t>
            </w:r>
          </w:p>
        </w:tc>
        <w:tc>
          <w:tcPr>
            <w:tcW w:w="6481" w:type="dxa"/>
            <w:tcBorders>
              <w:top w:val="single" w:color="000000" w:sz="4" w:space="0"/>
              <w:left w:val="single" w:color="000000" w:sz="4" w:space="0"/>
              <w:bottom w:val="single" w:color="000000" w:sz="4" w:space="0"/>
            </w:tcBorders>
            <w:noWrap w:val="0"/>
            <w:vAlign w:val="center"/>
          </w:tcPr>
          <w:p w14:paraId="75D7C13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生物活性炭、膜处理</w:t>
            </w:r>
          </w:p>
        </w:tc>
      </w:tr>
      <w:tr w14:paraId="6545C8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4329AD2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细菌和病毒</w:t>
            </w:r>
          </w:p>
        </w:tc>
        <w:tc>
          <w:tcPr>
            <w:tcW w:w="6481" w:type="dxa"/>
            <w:tcBorders>
              <w:top w:val="single" w:color="000000" w:sz="4" w:space="0"/>
              <w:left w:val="single" w:color="000000" w:sz="4" w:space="0"/>
              <w:bottom w:val="single" w:color="000000" w:sz="4" w:space="0"/>
            </w:tcBorders>
            <w:noWrap w:val="0"/>
            <w:vAlign w:val="center"/>
          </w:tcPr>
          <w:p w14:paraId="31E373FD">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6"/>
                <w:sz w:val="21"/>
                <w:szCs w:val="21"/>
                <w:lang w:eastAsia="zh-CN"/>
              </w:rPr>
              <w:t>过滤</w:t>
            </w:r>
            <w:r>
              <w:rPr>
                <w:rFonts w:hint="eastAsia" w:ascii="宋体" w:hAnsi="宋体" w:eastAsia="宋体" w:cs="宋体"/>
                <w:spacing w:val="-25"/>
                <w:sz w:val="21"/>
                <w:szCs w:val="21"/>
                <w:lang w:eastAsia="zh-CN"/>
              </w:rPr>
              <w:t>（</w:t>
            </w:r>
            <w:r>
              <w:rPr>
                <w:rFonts w:hint="eastAsia" w:ascii="宋体" w:hAnsi="宋体" w:eastAsia="宋体" w:cs="宋体"/>
                <w:spacing w:val="-27"/>
                <w:sz w:val="21"/>
                <w:szCs w:val="21"/>
                <w:lang w:eastAsia="zh-CN"/>
              </w:rPr>
              <w:t>部分去除）；</w:t>
            </w:r>
            <w:r>
              <w:rPr>
                <w:rFonts w:hint="eastAsia" w:ascii="宋体" w:hAnsi="宋体" w:eastAsia="宋体" w:cs="宋体"/>
                <w:spacing w:val="-26"/>
                <w:sz w:val="21"/>
                <w:szCs w:val="21"/>
                <w:lang w:eastAsia="zh-CN"/>
              </w:rPr>
              <w:t>消毒处理：氯、二氧化氯、臭氧、膜处理、紫外消毒</w:t>
            </w:r>
          </w:p>
        </w:tc>
      </w:tr>
      <w:tr w14:paraId="6055C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jc w:val="center"/>
        </w:trPr>
        <w:tc>
          <w:tcPr>
            <w:tcW w:w="2023" w:type="dxa"/>
            <w:tcBorders>
              <w:top w:val="single" w:color="000000" w:sz="4" w:space="0"/>
              <w:bottom w:val="single" w:color="000000" w:sz="4" w:space="0"/>
              <w:right w:val="single" w:color="000000" w:sz="4" w:space="0"/>
            </w:tcBorders>
            <w:noWrap w:val="0"/>
            <w:vAlign w:val="center"/>
          </w:tcPr>
          <w:p w14:paraId="37E064A6">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汞、铬等部分重金属</w:t>
            </w:r>
          </w:p>
          <w:p w14:paraId="7BEA8D36">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（应急状态）</w:t>
            </w:r>
          </w:p>
        </w:tc>
        <w:tc>
          <w:tcPr>
            <w:tcW w:w="6481" w:type="dxa"/>
            <w:tcBorders>
              <w:top w:val="single" w:color="000000" w:sz="4" w:space="0"/>
              <w:left w:val="single" w:color="000000" w:sz="4" w:space="0"/>
              <w:bottom w:val="single" w:color="000000" w:sz="4" w:space="0"/>
            </w:tcBorders>
            <w:noWrap w:val="0"/>
            <w:vAlign w:val="center"/>
          </w:tcPr>
          <w:p w14:paraId="7296D43B">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氧化法：高锰酸钾；生物活性炭吸附（部分去除）</w:t>
            </w:r>
          </w:p>
        </w:tc>
      </w:tr>
      <w:tr w14:paraId="0C2EE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jc w:val="center"/>
        </w:trPr>
        <w:tc>
          <w:tcPr>
            <w:tcW w:w="2023" w:type="dxa"/>
            <w:tcBorders>
              <w:top w:val="single" w:color="000000" w:sz="4" w:space="0"/>
              <w:right w:val="single" w:color="000000" w:sz="4" w:space="0"/>
            </w:tcBorders>
            <w:noWrap w:val="0"/>
            <w:vAlign w:val="center"/>
          </w:tcPr>
          <w:p w14:paraId="292E7AD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藻类及藻毒素</w:t>
            </w:r>
          </w:p>
        </w:tc>
        <w:tc>
          <w:tcPr>
            <w:tcW w:w="6481" w:type="dxa"/>
            <w:tcBorders>
              <w:top w:val="single" w:color="000000" w:sz="4" w:space="0"/>
              <w:left w:val="single" w:color="000000" w:sz="4" w:space="0"/>
            </w:tcBorders>
            <w:noWrap w:val="0"/>
            <w:vAlign w:val="center"/>
          </w:tcPr>
          <w:p w14:paraId="28F1B5FE">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4"/>
                <w:sz w:val="21"/>
                <w:szCs w:val="21"/>
                <w:lang w:eastAsia="zh-CN"/>
              </w:rPr>
              <w:t>化学氧化预处理：除藻剂法、高锰酸钾、氯；微滤法；气浮法；臭氧氧化法</w:t>
            </w:r>
          </w:p>
        </w:tc>
      </w:tr>
    </w:tbl>
    <w:p w14:paraId="03413014">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4.7.2 供水安全保障</w:t>
      </w:r>
      <w:bookmarkStart w:id="86" w:name="_Toc4905"/>
    </w:p>
    <w:p w14:paraId="72515D7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出现水源地突发环境事件，应急供水保障组应根据污染物的种类、浓度、可能影响取水口的时间等，及时采取深度处理、低压供水或启动备用水源等应急措施，并加强污染物监测，待水质满足取水要求时恢复取水和供水。无备用水源的，应使用应急供水车等设施保障居民用水。</w:t>
      </w:r>
    </w:p>
    <w:p w14:paraId="2E65E35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87" w:name="_Toc186124198"/>
      <w:bookmarkStart w:id="88" w:name="_Toc186125033"/>
      <w:bookmarkStart w:id="89" w:name="_Toc186122740"/>
      <w:bookmarkStart w:id="90" w:name="_Toc186123045"/>
      <w:bookmarkStart w:id="91" w:name="_Toc16092"/>
      <w:r>
        <w:rPr>
          <w:rFonts w:hint="eastAsia" w:ascii="宋体" w:hAnsi="宋体" w:eastAsia="宋体" w:cs="宋体"/>
          <w:b/>
          <w:bCs/>
          <w:color w:val="000000"/>
          <w:sz w:val="28"/>
          <w:szCs w:val="28"/>
          <w:lang w:val="en-US" w:eastAsia="zh-CN"/>
        </w:rPr>
        <w:t>4.8 物资调集及应急设施启用</w:t>
      </w:r>
      <w:bookmarkEnd w:id="86"/>
      <w:bookmarkEnd w:id="87"/>
      <w:bookmarkEnd w:id="88"/>
      <w:bookmarkEnd w:id="89"/>
      <w:bookmarkEnd w:id="90"/>
      <w:bookmarkEnd w:id="91"/>
    </w:p>
    <w:p w14:paraId="5D1F576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92" w:name="_Toc25284"/>
      <w:bookmarkStart w:id="93" w:name="_Toc186125034"/>
      <w:bookmarkStart w:id="94" w:name="_Toc186123046"/>
      <w:bookmarkStart w:id="95" w:name="_Toc31212"/>
      <w:bookmarkStart w:id="96" w:name="_Toc186124199"/>
      <w:bookmarkStart w:id="97" w:name="_Toc186122741"/>
      <w:r>
        <w:rPr>
          <w:rFonts w:hint="eastAsia" w:ascii="宋体" w:hAnsi="宋体" w:eastAsia="宋体" w:cs="宋体"/>
          <w:color w:val="auto"/>
          <w:sz w:val="28"/>
          <w:szCs w:val="28"/>
          <w:lang w:val="en-US" w:eastAsia="zh-CN"/>
        </w:rPr>
        <w:t>应急物资、装备</w:t>
      </w:r>
      <w:r>
        <w:rPr>
          <w:rFonts w:hint="eastAsia" w:cs="宋体"/>
          <w:color w:val="auto"/>
          <w:sz w:val="28"/>
          <w:szCs w:val="28"/>
          <w:lang w:val="en-US" w:eastAsia="zh-CN"/>
        </w:rPr>
        <w:t>在突发环境事件发生时</w:t>
      </w:r>
      <w:r>
        <w:rPr>
          <w:rFonts w:hint="eastAsia" w:ascii="宋体" w:hAnsi="宋体" w:eastAsia="宋体" w:cs="宋体"/>
          <w:color w:val="auto"/>
          <w:sz w:val="28"/>
          <w:szCs w:val="28"/>
          <w:lang w:val="en-US" w:eastAsia="zh-CN"/>
        </w:rPr>
        <w:t>由综合协调组进行统一协调调配。</w:t>
      </w:r>
    </w:p>
    <w:p w14:paraId="2D42DE7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4.9 舆情监测与信息发布</w:t>
      </w:r>
      <w:bookmarkEnd w:id="92"/>
      <w:bookmarkEnd w:id="93"/>
      <w:bookmarkEnd w:id="94"/>
      <w:bookmarkEnd w:id="95"/>
      <w:bookmarkEnd w:id="96"/>
      <w:bookmarkEnd w:id="97"/>
    </w:p>
    <w:p w14:paraId="2F6B5EC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综合协调组负责及时按规定通过新闻媒体发布饮用水水源地突发污染事件处置的相关信息，监控、引导社会</w:t>
      </w:r>
      <w:bookmarkStart w:id="180" w:name="_GoBack"/>
      <w:bookmarkEnd w:id="180"/>
      <w:r>
        <w:rPr>
          <w:rFonts w:hint="eastAsia" w:ascii="宋体" w:hAnsi="宋体" w:eastAsia="宋体" w:cs="宋体"/>
          <w:color w:val="auto"/>
          <w:sz w:val="28"/>
          <w:szCs w:val="28"/>
          <w:lang w:val="en-US" w:eastAsia="zh-CN"/>
        </w:rPr>
        <w:t>舆情。现场应急指挥部在突发环境事件发生后，应第一时间通过政府发布新闻通稿、举行新闻发布会等多种形式，借助电视、广播、报纸、网络等多种途径，运用微博、微信、移动客户端等新媒体平台，主动、及时、准确、客观地向社会发布突发环境事件有关信息，回应社会关切，澄清不实信息，正确引导社会舆论。发布内容包括事件原因、影响区域、已采取的措施及成效、公众应注意的防范措施、热线电话等。</w:t>
      </w:r>
    </w:p>
    <w:p w14:paraId="24DA5B98">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98" w:name="_Toc1903"/>
      <w:bookmarkStart w:id="99" w:name="_Toc186125035"/>
      <w:bookmarkStart w:id="100" w:name="_Toc186124200"/>
      <w:bookmarkStart w:id="101" w:name="_Toc19502"/>
      <w:bookmarkStart w:id="102" w:name="_Toc186123047"/>
      <w:bookmarkStart w:id="103" w:name="_Toc186122742"/>
      <w:r>
        <w:rPr>
          <w:rFonts w:hint="eastAsia" w:ascii="宋体" w:hAnsi="宋体" w:eastAsia="宋体" w:cs="宋体"/>
          <w:b/>
          <w:bCs/>
          <w:color w:val="000000"/>
          <w:sz w:val="28"/>
          <w:szCs w:val="28"/>
          <w:lang w:val="en-US" w:eastAsia="zh-CN"/>
        </w:rPr>
        <w:t>4.10 响应终止</w:t>
      </w:r>
      <w:bookmarkEnd w:id="98"/>
      <w:bookmarkEnd w:id="99"/>
      <w:bookmarkEnd w:id="100"/>
      <w:bookmarkEnd w:id="101"/>
      <w:bookmarkEnd w:id="102"/>
      <w:bookmarkEnd w:id="103"/>
    </w:p>
    <w:p w14:paraId="390385E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符合下列情形之一的，可终止应急响应。</w:t>
      </w:r>
    </w:p>
    <w:p w14:paraId="76DCDB4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（1）进入水源保护区陆域范围的污染物已成功围堵，且清运至水源保护区外，未向水域扩散时；</w:t>
      </w:r>
    </w:p>
    <w:p w14:paraId="2A5F503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（2）进入水源保护区水域范围的</w:t>
      </w:r>
      <w:r>
        <w:rPr>
          <w:rFonts w:hint="eastAsia" w:cs="宋体"/>
          <w:color w:val="auto"/>
          <w:sz w:val="28"/>
          <w:szCs w:val="28"/>
          <w:lang w:val="en-US" w:eastAsia="zh-CN"/>
        </w:rPr>
        <w:t>污染源</w:t>
      </w:r>
      <w:r>
        <w:rPr>
          <w:rFonts w:hint="eastAsia" w:ascii="宋体" w:hAnsi="宋体" w:eastAsia="宋体" w:cs="宋体"/>
          <w:color w:val="auto"/>
          <w:sz w:val="28"/>
          <w:szCs w:val="28"/>
          <w:lang w:val="en-US" w:eastAsia="zh-CN"/>
        </w:rPr>
        <w:t>已成功拦截或导流至水源保护区外，没有向取水口扩散的风险，且水质监测结果稳定达标；</w:t>
      </w:r>
    </w:p>
    <w:p w14:paraId="0F32D40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（3）水质监测结果尚未稳定达标，但根据应急专家组建议可以恢复正常</w:t>
      </w:r>
      <w:r>
        <w:rPr>
          <w:rFonts w:hint="eastAsia" w:cs="宋体"/>
          <w:color w:val="auto"/>
          <w:sz w:val="28"/>
          <w:szCs w:val="28"/>
          <w:lang w:val="en-US" w:eastAsia="zh-CN"/>
        </w:rPr>
        <w:t>取水</w:t>
      </w:r>
      <w:r>
        <w:rPr>
          <w:rFonts w:hint="eastAsia" w:ascii="宋体" w:hAnsi="宋体" w:eastAsia="宋体" w:cs="宋体"/>
          <w:color w:val="auto"/>
          <w:sz w:val="28"/>
          <w:szCs w:val="28"/>
          <w:lang w:val="en-US" w:eastAsia="zh-CN"/>
        </w:rPr>
        <w:t>。</w:t>
      </w:r>
    </w:p>
    <w:p w14:paraId="0BA3B44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由专家组进行综合评估，在符合解除应急响应的条件后，提出响应终止的建议，由区指挥部批准同意响应终止。</w:t>
      </w:r>
    </w:p>
    <w:p w14:paraId="41FE0654">
      <w:p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br w:type="page"/>
      </w:r>
    </w:p>
    <w:p w14:paraId="0D50696E">
      <w:pPr>
        <w:pStyle w:val="13"/>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7"/>
          <w:rFonts w:hint="default" w:ascii="宋体" w:hAnsi="宋体" w:eastAsia="宋体" w:cs="宋体"/>
          <w:b/>
          <w:bCs/>
          <w:color w:val="000000"/>
          <w:sz w:val="32"/>
          <w:szCs w:val="32"/>
          <w:lang w:val="en-US" w:eastAsia="zh-CN"/>
        </w:rPr>
      </w:pPr>
      <w:bookmarkStart w:id="104" w:name="_Toc186124159"/>
      <w:bookmarkStart w:id="105" w:name="_Toc186124984"/>
      <w:bookmarkStart w:id="106" w:name="_Toc31622"/>
      <w:r>
        <w:rPr>
          <w:rStyle w:val="17"/>
          <w:rFonts w:hint="eastAsia" w:cs="宋体"/>
          <w:b/>
          <w:bCs/>
          <w:color w:val="000000"/>
          <w:sz w:val="32"/>
          <w:szCs w:val="32"/>
          <w:lang w:val="en-US" w:eastAsia="zh-CN"/>
        </w:rPr>
        <w:t>5</w:t>
      </w:r>
      <w:r>
        <w:rPr>
          <w:rStyle w:val="17"/>
          <w:rFonts w:hint="eastAsia" w:ascii="宋体" w:hAnsi="宋体" w:eastAsia="宋体" w:cs="宋体"/>
          <w:b/>
          <w:bCs/>
          <w:color w:val="000000"/>
          <w:sz w:val="32"/>
          <w:szCs w:val="32"/>
          <w:lang w:val="en-US" w:eastAsia="zh-CN"/>
        </w:rPr>
        <w:t xml:space="preserve"> </w:t>
      </w:r>
      <w:bookmarkEnd w:id="104"/>
      <w:bookmarkEnd w:id="105"/>
      <w:r>
        <w:rPr>
          <w:rStyle w:val="17"/>
          <w:rFonts w:hint="eastAsia" w:cs="宋体"/>
          <w:b/>
          <w:bCs/>
          <w:color w:val="000000"/>
          <w:sz w:val="32"/>
          <w:szCs w:val="32"/>
          <w:lang w:val="en-US" w:eastAsia="zh-CN"/>
        </w:rPr>
        <w:t>后期工作</w:t>
      </w:r>
      <w:bookmarkEnd w:id="106"/>
    </w:p>
    <w:p w14:paraId="5D44D45A">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7" w:name="_Toc10713"/>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.1 后期防控</w:t>
      </w:r>
      <w:bookmarkEnd w:id="107"/>
      <w:bookmarkStart w:id="108" w:name="_Toc27647"/>
    </w:p>
    <w:p w14:paraId="067C7A6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后期防控主要包括：</w:t>
      </w:r>
    </w:p>
    <w:p w14:paraId="013EA24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（1）油品、化学品污染环境净化和消洗</w:t>
      </w:r>
    </w:p>
    <w:p w14:paraId="722EFF1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油品、化学品能重新利用的则应回收再利用；不能重新利用的，可交有资质的单位处置；农药等毒性物质尽可能交与有资质的危险废物处理的单位净化处置。把消防毒剂水溶液装于消防车水罐，经消防泵加压后，通过水带、水枪以开花或喷雾水流喷洒。用吸附垫、活性炭等具有吸附能力的物质，吸附回收后转移委托有资质的单位处置，也可用喷射雾状水进行稀释降毒。受污染水体抽吸进入活性炭设施，净化处理达标后排入污水处理站，废弃活性炭委托有资质的单位处置。</w:t>
      </w:r>
    </w:p>
    <w:p w14:paraId="11B2870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（2）被油品、化学品污染的河道或水库岸线</w:t>
      </w:r>
    </w:p>
    <w:p w14:paraId="52E8A98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对污染产生的死鱼、动物等进行打捞收集，并依法依规消毒填埋处理；</w:t>
      </w:r>
      <w:r>
        <w:rPr>
          <w:rFonts w:hint="eastAsia" w:cs="宋体"/>
          <w:color w:val="auto"/>
          <w:sz w:val="28"/>
          <w:szCs w:val="28"/>
          <w:lang w:val="en-US" w:eastAsia="zh-CN"/>
        </w:rPr>
        <w:t>使用</w:t>
      </w:r>
      <w:r>
        <w:rPr>
          <w:rFonts w:hint="eastAsia" w:ascii="宋体" w:hAnsi="宋体" w:eastAsia="宋体" w:cs="宋体"/>
          <w:color w:val="auto"/>
          <w:sz w:val="28"/>
          <w:szCs w:val="28"/>
          <w:lang w:val="en-US" w:eastAsia="zh-CN"/>
        </w:rPr>
        <w:t>消油剂或吸附剂进行消除；使用刷子或吸尘器除去颗粒性污染物，或使用简单工具收集被污染沙石至容器内，按危险固废处置。</w:t>
      </w:r>
    </w:p>
    <w:p w14:paraId="0ED746F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（3）被污染的土壤</w:t>
      </w:r>
    </w:p>
    <w:p w14:paraId="2B51828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使用简单工具将表层剥离装入容器，并委托具备处理资质的单位净化处置；若环境不允许挖掘或清除大量土壤时，可使用物理、化学或生物方法消除。</w:t>
      </w:r>
    </w:p>
    <w:p w14:paraId="4784C2C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（4）清理的藻类</w:t>
      </w:r>
    </w:p>
    <w:p w14:paraId="50F63AA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藻类捕捞后运送到保护区外指定场所堆放，并采用沼气发生池、搅拌发酵、除臭分解等无害化处理手段，使之成为可利用的能源或有机肥料。</w:t>
      </w:r>
    </w:p>
    <w:p w14:paraId="0D56C8F3">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9" w:name="_Toc7612"/>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.2 事件调查</w:t>
      </w:r>
      <w:bookmarkEnd w:id="108"/>
      <w:bookmarkEnd w:id="109"/>
      <w:bookmarkStart w:id="110" w:name="_Toc7881"/>
    </w:p>
    <w:p w14:paraId="2E72AB0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根据事件调查的有关规定</w:t>
      </w:r>
      <w:r>
        <w:rPr>
          <w:rFonts w:hint="eastAsia" w:cs="宋体"/>
          <w:color w:val="auto"/>
          <w:sz w:val="28"/>
          <w:szCs w:val="28"/>
          <w:lang w:val="en-US" w:eastAsia="zh-CN"/>
        </w:rPr>
        <w:t>温泉镇应协助开展事件调查</w:t>
      </w:r>
      <w:r>
        <w:rPr>
          <w:rFonts w:hint="eastAsia" w:ascii="宋体" w:hAnsi="宋体" w:eastAsia="宋体" w:cs="宋体"/>
          <w:color w:val="auto"/>
          <w:sz w:val="28"/>
          <w:szCs w:val="28"/>
          <w:lang w:val="en-US" w:eastAsia="zh-CN"/>
        </w:rPr>
        <w:t>，一般或较大环境事件应由区生态环境局牵头，有关部门配合，组织开展事件调查，查明事件原因和性质，提出整改防范措施和处理建议。相关单位或企业应积极整改，并形成整改反馈报告。重大或特别重大事件由市政府或市政府指定部门组织调查。</w:t>
      </w:r>
    </w:p>
    <w:p w14:paraId="3A866242">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1" w:name="_Toc27055"/>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.3 损害评估</w:t>
      </w:r>
      <w:bookmarkEnd w:id="110"/>
      <w:bookmarkEnd w:id="111"/>
      <w:bookmarkStart w:id="112" w:name="_Toc24184"/>
    </w:p>
    <w:p w14:paraId="65979E5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根据有关规定，</w:t>
      </w:r>
      <w:r>
        <w:rPr>
          <w:rFonts w:hint="eastAsia" w:cs="宋体"/>
          <w:color w:val="auto"/>
          <w:sz w:val="28"/>
          <w:szCs w:val="28"/>
          <w:lang w:val="en-US" w:eastAsia="zh-CN"/>
        </w:rPr>
        <w:t>温泉镇</w:t>
      </w:r>
      <w:r>
        <w:rPr>
          <w:rFonts w:hint="eastAsia" w:ascii="宋体" w:hAnsi="宋体" w:eastAsia="宋体" w:cs="宋体"/>
          <w:color w:val="auto"/>
          <w:sz w:val="28"/>
          <w:szCs w:val="28"/>
          <w:lang w:val="en-US" w:eastAsia="zh-CN"/>
        </w:rPr>
        <w:t>督促造成水源地突发环境事件及污染的个人或单位及时组织开展污染损害评估，并将经评审后的评估结果向社会公布。若造成水源地突发环境事件及污染的个人或单位不明确，应由</w:t>
      </w:r>
      <w:r>
        <w:rPr>
          <w:rFonts w:hint="eastAsia" w:cs="宋体"/>
          <w:color w:val="auto"/>
          <w:sz w:val="28"/>
          <w:szCs w:val="28"/>
          <w:lang w:val="en-US" w:eastAsia="zh-CN"/>
        </w:rPr>
        <w:t>温泉镇</w:t>
      </w:r>
      <w:r>
        <w:rPr>
          <w:rFonts w:hint="eastAsia" w:ascii="宋体" w:hAnsi="宋体" w:eastAsia="宋体" w:cs="宋体"/>
          <w:color w:val="auto"/>
          <w:sz w:val="28"/>
          <w:szCs w:val="28"/>
          <w:lang w:val="en-US" w:eastAsia="zh-CN"/>
        </w:rPr>
        <w:t>组织开展污染损害评估，并将经评审后的评估结果向社会公布。</w:t>
      </w:r>
    </w:p>
    <w:p w14:paraId="5F202DD6">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3" w:name="_Toc25196"/>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.4 善后处置</w:t>
      </w:r>
      <w:bookmarkEnd w:id="112"/>
      <w:bookmarkEnd w:id="113"/>
    </w:p>
    <w:p w14:paraId="693908A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温泉镇督促肇事单位按照政策规定，对事故伤亡人员给予赔付救治，对伤者及伤亡人员家属进行精神安抚；相关部门按照各自职责进行指导。按照国家规定组织制定补助、补偿、抚慰、抚恤、安置和环境恢复等善后工作方案，并按照法定程序实施。对紧急征用的物资和调集的社会力量按照有关规定予以结算和补偿。保险机构及时开展相关理赔工作。肇事单位必须对风险隐患进行整改，防止风险源再次引发水污染事件，对涉及的污染场地进行修复，满足相关要求，并对造成社会损害的进行依法赔偿。</w:t>
      </w:r>
      <w:r>
        <w:rPr>
          <w:rFonts w:hint="eastAsia" w:ascii="宋体" w:hAnsi="宋体" w:eastAsia="宋体" w:cs="宋体"/>
          <w:color w:val="auto"/>
          <w:sz w:val="28"/>
          <w:szCs w:val="28"/>
          <w:lang w:val="en-US" w:eastAsia="zh-CN"/>
        </w:rPr>
        <w:br w:type="page"/>
      </w:r>
    </w:p>
    <w:p w14:paraId="52B46A7B">
      <w:pPr>
        <w:pStyle w:val="13"/>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7"/>
          <w:rFonts w:hint="eastAsia" w:ascii="宋体" w:hAnsi="宋体" w:eastAsia="宋体" w:cs="宋体"/>
          <w:b/>
          <w:bCs/>
          <w:color w:val="000000"/>
          <w:sz w:val="32"/>
          <w:szCs w:val="32"/>
          <w:lang w:val="en-US" w:eastAsia="zh-CN"/>
        </w:rPr>
      </w:pPr>
      <w:bookmarkStart w:id="114" w:name="_Toc186124990"/>
      <w:bookmarkStart w:id="115" w:name="_Toc186124165"/>
      <w:bookmarkStart w:id="116" w:name="_Toc10277"/>
      <w:r>
        <w:rPr>
          <w:rStyle w:val="17"/>
          <w:rFonts w:hint="eastAsia" w:cs="宋体"/>
          <w:b/>
          <w:bCs/>
          <w:color w:val="000000"/>
          <w:sz w:val="32"/>
          <w:szCs w:val="32"/>
          <w:lang w:val="en-US" w:eastAsia="zh-CN"/>
        </w:rPr>
        <w:t>6</w:t>
      </w:r>
      <w:r>
        <w:rPr>
          <w:rStyle w:val="17"/>
          <w:rFonts w:hint="eastAsia" w:ascii="宋体" w:hAnsi="宋体" w:eastAsia="宋体" w:cs="宋体"/>
          <w:b/>
          <w:bCs/>
          <w:color w:val="000000"/>
          <w:sz w:val="32"/>
          <w:szCs w:val="32"/>
          <w:lang w:val="en-US" w:eastAsia="zh-CN"/>
        </w:rPr>
        <w:t xml:space="preserve"> 应急保障</w:t>
      </w:r>
      <w:bookmarkEnd w:id="114"/>
      <w:bookmarkEnd w:id="115"/>
      <w:bookmarkEnd w:id="116"/>
    </w:p>
    <w:p w14:paraId="0E52D8F1">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7" w:name="_Toc186124991"/>
      <w:bookmarkStart w:id="118" w:name="_Toc13854"/>
      <w:bookmarkStart w:id="119" w:name="_Toc186124166"/>
      <w:bookmarkStart w:id="120" w:name="_Toc186123003"/>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.1 队伍保障</w:t>
      </w:r>
      <w:bookmarkEnd w:id="117"/>
      <w:bookmarkEnd w:id="118"/>
      <w:bookmarkEnd w:id="119"/>
      <w:bookmarkEnd w:id="120"/>
    </w:p>
    <w:p w14:paraId="09F2925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温泉镇人民政府</w:t>
      </w:r>
      <w:r>
        <w:rPr>
          <w:rFonts w:hint="eastAsia" w:ascii="宋体" w:hAnsi="宋体" w:eastAsia="宋体" w:cs="宋体"/>
          <w:color w:val="auto"/>
          <w:sz w:val="28"/>
          <w:szCs w:val="28"/>
          <w:lang w:val="en-US" w:eastAsia="zh-CN"/>
        </w:rPr>
        <w:t>有关部门和单位要加强环境应急救援队伍能力建设。环境监测队伍、消防救援队伍、大型国有骨干企业应急救援队伍及其他相关方面应急救援队伍，要积极参加突发环境事件的应急监测、应急处置、调查处理等工作，提高响应能力和应对能力。要加强环境应急专家队伍管理，为制定突发环境事件应急处置方案、评估污染损害、开展调查处理等工作提供决策建议。</w:t>
      </w:r>
    </w:p>
    <w:p w14:paraId="669A0B6D">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1" w:name="_Toc186123004"/>
      <w:bookmarkStart w:id="122" w:name="_Toc186124167"/>
      <w:bookmarkStart w:id="123" w:name="_Toc25080"/>
      <w:bookmarkStart w:id="124" w:name="_Toc186124992"/>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.2 物资、装备与资金保障</w:t>
      </w:r>
      <w:bookmarkEnd w:id="121"/>
      <w:bookmarkEnd w:id="122"/>
      <w:bookmarkEnd w:id="123"/>
      <w:bookmarkEnd w:id="124"/>
    </w:p>
    <w:p w14:paraId="3E8014B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温泉镇人民政府</w:t>
      </w:r>
      <w:r>
        <w:rPr>
          <w:rFonts w:hint="eastAsia" w:ascii="宋体" w:hAnsi="宋体" w:eastAsia="宋体" w:cs="宋体"/>
          <w:color w:val="auto"/>
          <w:sz w:val="28"/>
          <w:szCs w:val="28"/>
          <w:lang w:val="en-US" w:eastAsia="zh-CN"/>
        </w:rPr>
        <w:t>有关部门和有关单位要结合辖区内环境风险特征，分级、分类储备污染源切断、污染物控制、污染物收集、污染物降解、安全防护、应急通信和指挥以及应急监测等物资装备，鼓励支持社会化应急储备，保障应急装备、应急物资、生活必需品的生产、存储、调拨、供给。要加强对环境应急装备和物资储备的动态管理，将环境应急物资储备统筹纳入应急物资库建设。区财政局要保障突发环境事件应对工作所需必要经费。</w:t>
      </w:r>
    </w:p>
    <w:p w14:paraId="7BF28199">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5" w:name="_Toc186123005"/>
      <w:bookmarkStart w:id="126" w:name="_Toc186124168"/>
      <w:bookmarkStart w:id="127" w:name="_Toc17286"/>
      <w:bookmarkStart w:id="128" w:name="_Toc186124993"/>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.3 通信、交通与运输保障</w:t>
      </w:r>
      <w:bookmarkEnd w:id="125"/>
      <w:bookmarkEnd w:id="126"/>
      <w:bookmarkEnd w:id="127"/>
      <w:bookmarkEnd w:id="128"/>
    </w:p>
    <w:p w14:paraId="7E4C5B8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温泉镇人民政府</w:t>
      </w:r>
      <w:r>
        <w:rPr>
          <w:rFonts w:hint="eastAsia" w:ascii="宋体" w:hAnsi="宋体" w:eastAsia="宋体" w:cs="宋体"/>
          <w:color w:val="auto"/>
          <w:sz w:val="28"/>
          <w:szCs w:val="28"/>
          <w:lang w:val="en-US" w:eastAsia="zh-CN"/>
        </w:rPr>
        <w:t>要建立健全突发环境事件应急通信保障体系，确保应急期间通信联络和信息传递需要。</w:t>
      </w:r>
    </w:p>
    <w:p w14:paraId="47BBF60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温泉镇人民政府协助</w:t>
      </w:r>
      <w:r>
        <w:rPr>
          <w:rFonts w:hint="eastAsia" w:ascii="宋体" w:hAnsi="宋体" w:eastAsia="宋体" w:cs="宋体"/>
          <w:color w:val="auto"/>
          <w:sz w:val="28"/>
          <w:szCs w:val="28"/>
          <w:lang w:val="en-US" w:eastAsia="zh-CN"/>
        </w:rPr>
        <w:t>区交通运输委要健全公路、水运、铁路紧急运输保障体系，保障应急响应所需人员、物资、装备、器材等的运输。</w:t>
      </w:r>
    </w:p>
    <w:p w14:paraId="6BB387F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温泉镇人民政府协助</w:t>
      </w:r>
      <w:r>
        <w:rPr>
          <w:rFonts w:hint="eastAsia" w:ascii="宋体" w:hAnsi="宋体" w:eastAsia="宋体" w:cs="宋体"/>
          <w:color w:val="auto"/>
          <w:sz w:val="28"/>
          <w:szCs w:val="28"/>
          <w:lang w:val="en-US" w:eastAsia="zh-CN"/>
        </w:rPr>
        <w:t>区公安局加强应急交通管理，保障运送伤病员、应急救援人员、物资、装备、器材车辆的优先通行。</w:t>
      </w:r>
    </w:p>
    <w:p w14:paraId="35B170C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9" w:name="_Toc186124994"/>
      <w:bookmarkStart w:id="130" w:name="_Toc186123006"/>
      <w:bookmarkStart w:id="131" w:name="_Toc186124169"/>
      <w:bookmarkStart w:id="132" w:name="_Toc31802"/>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.4 技术保障</w:t>
      </w:r>
      <w:bookmarkEnd w:id="129"/>
      <w:bookmarkEnd w:id="130"/>
      <w:bookmarkEnd w:id="131"/>
      <w:bookmarkEnd w:id="132"/>
    </w:p>
    <w:p w14:paraId="3589CC3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温泉镇人民政府</w:t>
      </w:r>
      <w:r>
        <w:rPr>
          <w:rFonts w:hint="eastAsia" w:ascii="宋体" w:hAnsi="宋体" w:eastAsia="宋体" w:cs="宋体"/>
          <w:color w:val="auto"/>
          <w:sz w:val="28"/>
          <w:szCs w:val="28"/>
          <w:lang w:val="en-US" w:eastAsia="zh-CN"/>
        </w:rPr>
        <w:t>要加强环境应急指挥系统的优化，依托环境应急指挥技术平台，实现信息综合集成、分析处理、污染损害评估的智能化和数字化。财政</w:t>
      </w:r>
      <w:r>
        <w:rPr>
          <w:rFonts w:hint="eastAsia" w:cs="宋体"/>
          <w:color w:val="auto"/>
          <w:sz w:val="28"/>
          <w:szCs w:val="28"/>
          <w:lang w:val="en-US" w:eastAsia="zh-CN"/>
        </w:rPr>
        <w:t>部门</w:t>
      </w:r>
      <w:r>
        <w:rPr>
          <w:rFonts w:hint="eastAsia" w:ascii="宋体" w:hAnsi="宋体" w:eastAsia="宋体" w:cs="宋体"/>
          <w:color w:val="auto"/>
          <w:sz w:val="28"/>
          <w:szCs w:val="28"/>
          <w:lang w:val="en-US" w:eastAsia="zh-CN"/>
        </w:rPr>
        <w:t>及相关部门要支持先进技术和装备的研发。同时，</w:t>
      </w:r>
      <w:r>
        <w:rPr>
          <w:rFonts w:hint="eastAsia" w:cs="宋体"/>
          <w:color w:val="auto"/>
          <w:sz w:val="28"/>
          <w:szCs w:val="28"/>
          <w:lang w:val="en-US" w:eastAsia="zh-CN"/>
        </w:rPr>
        <w:t>温泉镇人民政府应急</w:t>
      </w:r>
      <w:r>
        <w:rPr>
          <w:rFonts w:hint="eastAsia" w:ascii="宋体" w:hAnsi="宋体" w:eastAsia="宋体" w:cs="宋体"/>
          <w:color w:val="auto"/>
          <w:sz w:val="28"/>
          <w:szCs w:val="28"/>
          <w:lang w:val="en-US" w:eastAsia="zh-CN"/>
        </w:rPr>
        <w:t>指挥部各成员单位应当根据职责在部门应急预案中纳入预防引发环境污染事故及次生、衍生突发环境事件的有关内容，建立完善有关防范水环境污染的基本信息。主要包括：</w:t>
      </w:r>
    </w:p>
    <w:p w14:paraId="43E95F5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（1）流域水系河流数量和分布图，水文参数、水质现状、流域人口、饮用水源保护区等基本信息。</w:t>
      </w:r>
    </w:p>
    <w:p w14:paraId="55DDF14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（2）工业和农业生产、使用、贮存、销售、运输的环境风险物质的种类、数量、贮存位置及防范措施。</w:t>
      </w:r>
    </w:p>
    <w:p w14:paraId="193CD32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（3）工业、生活、畜禽养殖等污染源的排放、数量及分布情况。</w:t>
      </w:r>
    </w:p>
    <w:p w14:paraId="56266D2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（4）要落实“找空间、定方案、抓演练”三个要素，编制流域“一河一策一图”环境应急响应方案，提前做好技术保</w:t>
      </w:r>
      <w:r>
        <w:rPr>
          <w:rFonts w:hint="eastAsia" w:cs="宋体"/>
          <w:color w:val="auto"/>
          <w:sz w:val="28"/>
          <w:szCs w:val="28"/>
          <w:lang w:val="en-US" w:eastAsia="zh-CN"/>
        </w:rPr>
        <w:t>障和</w:t>
      </w:r>
      <w:r>
        <w:rPr>
          <w:rFonts w:hint="eastAsia" w:ascii="宋体" w:hAnsi="宋体" w:eastAsia="宋体" w:cs="宋体"/>
          <w:color w:val="auto"/>
          <w:sz w:val="28"/>
          <w:szCs w:val="28"/>
          <w:lang w:val="en-US" w:eastAsia="zh-CN"/>
        </w:rPr>
        <w:t>应急准备。</w:t>
      </w:r>
    </w:p>
    <w:p w14:paraId="1CCA599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参与应急处置的有关单位要开展突发环境污染的污染分析、扩散模型和风险评估研究工作，完善各类应急预案，确保应急处置科学、规范、安全。</w:t>
      </w:r>
    </w:p>
    <w:p w14:paraId="5B863A80">
      <w:pPr>
        <w:rPr>
          <w:rFonts w:hint="default" w:ascii="宋体" w:hAnsi="宋体" w:eastAsia="宋体" w:cs="宋体"/>
          <w:color w:val="auto"/>
          <w:kern w:val="2"/>
          <w:sz w:val="28"/>
          <w:szCs w:val="28"/>
          <w:lang w:val="en-US" w:eastAsia="zh-CN" w:bidi="ar-SA"/>
        </w:rPr>
      </w:pPr>
      <w:r>
        <w:rPr>
          <w:rFonts w:hint="default" w:ascii="宋体" w:hAnsi="宋体" w:eastAsia="宋体" w:cs="宋体"/>
          <w:color w:val="auto"/>
          <w:kern w:val="2"/>
          <w:sz w:val="28"/>
          <w:szCs w:val="28"/>
          <w:lang w:val="en-US" w:eastAsia="zh-CN" w:bidi="ar-SA"/>
        </w:rPr>
        <w:br w:type="page"/>
      </w:r>
    </w:p>
    <w:p w14:paraId="1BE557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33" w:name="_Toc21493"/>
      <w:bookmarkStart w:id="134" w:name="_Toc11776"/>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 xml:space="preserve"> 监督管理</w:t>
      </w:r>
      <w:bookmarkEnd w:id="133"/>
      <w:bookmarkEnd w:id="134"/>
    </w:p>
    <w:p w14:paraId="10F32B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35" w:name="_Toc20048"/>
      <w:bookmarkStart w:id="136" w:name="_Toc14704"/>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.1 应急预案演练</w:t>
      </w:r>
      <w:bookmarkEnd w:id="135"/>
      <w:bookmarkEnd w:id="136"/>
    </w:p>
    <w:p w14:paraId="6DAE6B5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为提高环境风险防范意识，增强环境应急处置能力，</w:t>
      </w:r>
      <w:r>
        <w:rPr>
          <w:rFonts w:hint="eastAsia" w:ascii="宋体" w:hAnsi="宋体" w:cs="宋体"/>
          <w:color w:val="auto"/>
          <w:sz w:val="28"/>
          <w:szCs w:val="28"/>
          <w:lang w:val="en-US" w:eastAsia="zh-CN"/>
        </w:rPr>
        <w:t>温泉镇</w:t>
      </w:r>
      <w:r>
        <w:rPr>
          <w:rFonts w:hint="eastAsia" w:ascii="宋体" w:hAnsi="宋体" w:eastAsia="宋体" w:cs="宋体"/>
          <w:color w:val="auto"/>
          <w:sz w:val="28"/>
          <w:szCs w:val="28"/>
          <w:lang w:val="en-US" w:eastAsia="zh-CN"/>
        </w:rPr>
        <w:t>应</w:t>
      </w:r>
      <w:r>
        <w:rPr>
          <w:rFonts w:hint="default" w:ascii="宋体" w:hAnsi="宋体" w:eastAsia="宋体" w:cs="宋体"/>
          <w:color w:val="auto"/>
          <w:sz w:val="28"/>
          <w:szCs w:val="28"/>
          <w:lang w:val="en-US" w:eastAsia="zh-CN"/>
        </w:rPr>
        <w:t>定期开展环境应急预案的实际演练活动。演练活动将根据不同事项制定相应的紧急预案，结合实际作出计划，实施演练，其规定如下：</w:t>
      </w:r>
    </w:p>
    <w:p w14:paraId="4873CAD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1）应急演</w:t>
      </w:r>
      <w:r>
        <w:rPr>
          <w:rFonts w:hint="eastAsia" w:ascii="宋体" w:hAnsi="宋体" w:eastAsia="宋体" w:cs="宋体"/>
          <w:color w:val="auto"/>
          <w:sz w:val="28"/>
          <w:szCs w:val="28"/>
          <w:lang w:val="en-US" w:eastAsia="zh-CN"/>
        </w:rPr>
        <w:t>练</w:t>
      </w:r>
      <w:r>
        <w:rPr>
          <w:rFonts w:hint="default" w:ascii="宋体" w:hAnsi="宋体" w:eastAsia="宋体" w:cs="宋体"/>
          <w:color w:val="auto"/>
          <w:sz w:val="28"/>
          <w:szCs w:val="28"/>
          <w:lang w:val="en-US" w:eastAsia="zh-CN"/>
        </w:rPr>
        <w:t>至少每年一次；</w:t>
      </w:r>
    </w:p>
    <w:p w14:paraId="3505FD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演练</w:t>
      </w:r>
      <w:r>
        <w:rPr>
          <w:rFonts w:hint="default" w:ascii="宋体" w:hAnsi="宋体" w:eastAsia="宋体" w:cs="宋体"/>
          <w:color w:val="auto"/>
          <w:sz w:val="28"/>
          <w:szCs w:val="28"/>
          <w:lang w:val="en-US" w:eastAsia="zh-CN"/>
        </w:rPr>
        <w:t>事项按照应急预案的编制，逐项</w:t>
      </w:r>
      <w:r>
        <w:rPr>
          <w:rFonts w:hint="eastAsia" w:ascii="宋体" w:hAnsi="宋体" w:eastAsia="宋体" w:cs="宋体"/>
          <w:color w:val="auto"/>
          <w:sz w:val="28"/>
          <w:szCs w:val="28"/>
          <w:lang w:val="en-US" w:eastAsia="zh-CN"/>
        </w:rPr>
        <w:t>反复地演练</w:t>
      </w:r>
      <w:r>
        <w:rPr>
          <w:rFonts w:hint="default" w:ascii="宋体" w:hAnsi="宋体" w:eastAsia="宋体" w:cs="宋体"/>
          <w:color w:val="auto"/>
          <w:sz w:val="28"/>
          <w:szCs w:val="28"/>
          <w:lang w:val="en-US" w:eastAsia="zh-CN"/>
        </w:rPr>
        <w:t>；</w:t>
      </w:r>
    </w:p>
    <w:p w14:paraId="4F91B76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3）明确参加演练的人员，做到人人参加，人人熟练；</w:t>
      </w:r>
    </w:p>
    <w:p w14:paraId="2644793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4）组织辖区内企业开展联合应急演练；</w:t>
      </w:r>
    </w:p>
    <w:p w14:paraId="05A41F6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4）每一次安排</w:t>
      </w:r>
      <w:r>
        <w:rPr>
          <w:rFonts w:hint="eastAsia" w:ascii="宋体" w:hAnsi="宋体" w:eastAsia="宋体" w:cs="宋体"/>
          <w:color w:val="auto"/>
          <w:sz w:val="28"/>
          <w:szCs w:val="28"/>
          <w:lang w:val="en-US" w:eastAsia="zh-CN"/>
        </w:rPr>
        <w:t>专人</w:t>
      </w:r>
      <w:r>
        <w:rPr>
          <w:rFonts w:hint="default" w:ascii="宋体" w:hAnsi="宋体" w:eastAsia="宋体" w:cs="宋体"/>
          <w:color w:val="auto"/>
          <w:sz w:val="28"/>
          <w:szCs w:val="28"/>
          <w:lang w:val="en-US" w:eastAsia="zh-CN"/>
        </w:rPr>
        <w:t>做好演练文字记录、图</w:t>
      </w:r>
      <w:r>
        <w:rPr>
          <w:rFonts w:hint="eastAsia" w:ascii="宋体" w:hAnsi="宋体" w:cs="宋体"/>
          <w:color w:val="auto"/>
          <w:sz w:val="28"/>
          <w:szCs w:val="28"/>
          <w:lang w:val="en-US" w:eastAsia="zh-CN"/>
        </w:rPr>
        <w:t>片和</w:t>
      </w:r>
      <w:r>
        <w:rPr>
          <w:rFonts w:hint="default" w:ascii="宋体" w:hAnsi="宋体" w:eastAsia="宋体" w:cs="宋体"/>
          <w:color w:val="auto"/>
          <w:sz w:val="28"/>
          <w:szCs w:val="28"/>
          <w:lang w:val="en-US" w:eastAsia="zh-CN"/>
        </w:rPr>
        <w:t>音像资料，并存档；</w:t>
      </w:r>
    </w:p>
    <w:p w14:paraId="7FAA76B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5）每一事项演练后，对演练过程进行评估、总结，以便再次演练时进行修正，为完善预案提供依据。</w:t>
      </w:r>
    </w:p>
    <w:p w14:paraId="00225B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37" w:name="_Toc12907"/>
      <w:bookmarkStart w:id="138" w:name="_Toc11370"/>
      <w:bookmarkStart w:id="139" w:name="_Toc29035"/>
      <w:bookmarkStart w:id="140" w:name="_Toc8627"/>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.2 宣传</w:t>
      </w:r>
      <w:bookmarkEnd w:id="137"/>
      <w:bookmarkEnd w:id="138"/>
      <w:bookmarkEnd w:id="139"/>
      <w:bookmarkEnd w:id="140"/>
    </w:p>
    <w:p w14:paraId="0FA4DBA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重庆市开州区</w:t>
      </w:r>
      <w:r>
        <w:rPr>
          <w:rFonts w:hint="eastAsia" w:ascii="宋体" w:hAnsi="宋体" w:cs="宋体"/>
          <w:color w:val="auto"/>
          <w:sz w:val="28"/>
          <w:szCs w:val="28"/>
          <w:lang w:val="en-US" w:eastAsia="zh-CN"/>
        </w:rPr>
        <w:t>温泉镇</w:t>
      </w:r>
      <w:r>
        <w:rPr>
          <w:rFonts w:hint="eastAsia" w:ascii="宋体" w:hAnsi="宋体" w:eastAsia="宋体" w:cs="宋体"/>
          <w:color w:val="auto"/>
          <w:sz w:val="28"/>
          <w:szCs w:val="28"/>
          <w:lang w:val="en-US" w:eastAsia="zh-CN"/>
        </w:rPr>
        <w:t>辖区内各企业应向员工说明本单位所涉及的环境风险物质的危险特性及发生事件可能造成的危害。广泛宣传突发环境事件有关法律法规和预防、避险、避灾、自救、互救的应急常识。增强职工应对突发环境事件的知识，增强应对突发环境事件的能力。</w:t>
      </w:r>
    </w:p>
    <w:p w14:paraId="230A254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掌握预案、应用预案处置突发环境事件。</w:t>
      </w:r>
    </w:p>
    <w:p w14:paraId="5FCA73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41" w:name="_Toc27877"/>
      <w:bookmarkStart w:id="142" w:name="_Toc23169"/>
      <w:bookmarkStart w:id="143" w:name="_Toc6999"/>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.3 培训</w:t>
      </w:r>
      <w:bookmarkEnd w:id="141"/>
      <w:bookmarkEnd w:id="142"/>
      <w:bookmarkEnd w:id="143"/>
    </w:p>
    <w:p w14:paraId="6A5368E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培训基本任务是：在突发环境事件情况下的快速抢险堵源，及时营救伤员、正确指导和帮助群众防护与撤离、有效消除环境危害，开展现场急救和伤员转送等技能和应急反应综合素质，有效降低突发环境事件对周边环境的危害，减少突发环境事件造成的损失。</w:t>
      </w:r>
    </w:p>
    <w:p w14:paraId="21A89A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宋体" w:hAnsi="宋体" w:eastAsia="宋体" w:cs="宋体"/>
          <w:b/>
          <w:bCs/>
          <w:color w:val="auto"/>
          <w:kern w:val="2"/>
          <w:sz w:val="32"/>
          <w:szCs w:val="32"/>
          <w:lang w:val="en-US" w:eastAsia="zh-CN" w:bidi="ar-SA"/>
        </w:rPr>
      </w:pPr>
      <w:bookmarkStart w:id="144" w:name="_Toc29430"/>
      <w:bookmarkStart w:id="145" w:name="_Toc5163"/>
      <w:bookmarkStart w:id="146" w:name="_Toc26469"/>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.4 预案管理</w:t>
      </w:r>
      <w:bookmarkEnd w:id="144"/>
      <w:bookmarkEnd w:id="145"/>
      <w:bookmarkEnd w:id="146"/>
    </w:p>
    <w:p w14:paraId="4BDD9D85">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.4.1 预案的制定和解释</w:t>
      </w:r>
    </w:p>
    <w:p w14:paraId="76AF692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温泉镇</w:t>
      </w:r>
      <w:r>
        <w:rPr>
          <w:rFonts w:hint="eastAsia" w:ascii="宋体" w:hAnsi="宋体" w:eastAsia="宋体" w:cs="宋体"/>
          <w:color w:val="auto"/>
          <w:sz w:val="28"/>
          <w:szCs w:val="28"/>
          <w:lang w:val="en-US" w:eastAsia="zh-CN"/>
        </w:rPr>
        <w:t>通过对辖区</w:t>
      </w:r>
      <w:r>
        <w:rPr>
          <w:rFonts w:hint="default" w:ascii="宋体" w:hAnsi="宋体" w:eastAsia="宋体" w:cs="宋体"/>
          <w:color w:val="auto"/>
          <w:sz w:val="28"/>
          <w:szCs w:val="28"/>
          <w:lang w:val="en-US" w:eastAsia="zh-CN"/>
        </w:rPr>
        <w:t>重点环境风险源定期开展预案评估工作，按有关规定及时组织预案修订工作</w:t>
      </w:r>
      <w:r>
        <w:rPr>
          <w:rFonts w:hint="eastAsia" w:ascii="宋体" w:hAnsi="宋体" w:eastAsia="宋体" w:cs="宋体"/>
          <w:color w:val="auto"/>
          <w:sz w:val="28"/>
          <w:szCs w:val="28"/>
          <w:lang w:val="en-US" w:eastAsia="zh-CN"/>
        </w:rPr>
        <w:t>，原则上不超过三年</w:t>
      </w:r>
      <w:r>
        <w:rPr>
          <w:rFonts w:hint="default" w:ascii="宋体" w:hAnsi="宋体" w:eastAsia="宋体" w:cs="宋体"/>
          <w:color w:val="auto"/>
          <w:sz w:val="28"/>
          <w:szCs w:val="28"/>
          <w:lang w:val="en-US" w:eastAsia="zh-CN"/>
        </w:rPr>
        <w:t>。</w:t>
      </w:r>
    </w:p>
    <w:p w14:paraId="6CA6725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本预案由</w:t>
      </w:r>
      <w:r>
        <w:rPr>
          <w:rFonts w:hint="eastAsia" w:ascii="宋体" w:hAnsi="宋体" w:cs="宋体"/>
          <w:color w:val="auto"/>
          <w:sz w:val="28"/>
          <w:szCs w:val="28"/>
          <w:lang w:val="en-US" w:eastAsia="zh-CN"/>
        </w:rPr>
        <w:t>重庆市开州区温泉镇人民政府</w:t>
      </w:r>
      <w:r>
        <w:rPr>
          <w:rFonts w:hint="default" w:ascii="宋体" w:hAnsi="宋体" w:eastAsia="宋体" w:cs="宋体"/>
          <w:color w:val="auto"/>
          <w:sz w:val="28"/>
          <w:szCs w:val="28"/>
          <w:lang w:val="en-US" w:eastAsia="zh-CN"/>
        </w:rPr>
        <w:t>负责解释</w:t>
      </w:r>
    </w:p>
    <w:p w14:paraId="1B0B8D2D">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.4.2 实施时间</w:t>
      </w:r>
    </w:p>
    <w:p w14:paraId="28514ED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本预案自印发之日起实施。</w:t>
      </w:r>
    </w:p>
    <w:p w14:paraId="71EBF852">
      <w:pPr>
        <w:rPr>
          <w:rFonts w:hint="eastAsia" w:ascii="宋体" w:hAnsi="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br w:type="page"/>
      </w:r>
    </w:p>
    <w:p w14:paraId="75302C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t>8</w:t>
      </w:r>
      <w:r>
        <w:rPr>
          <w:rFonts w:hint="eastAsia" w:ascii="宋体" w:hAnsi="宋体" w:eastAsia="宋体" w:cs="宋体"/>
          <w:b/>
          <w:bCs/>
          <w:color w:val="auto"/>
          <w:kern w:val="2"/>
          <w:sz w:val="32"/>
          <w:szCs w:val="32"/>
          <w:lang w:val="en-US" w:eastAsia="zh-CN" w:bidi="ar-SA"/>
        </w:rPr>
        <w:t xml:space="preserve"> 附件和附图</w:t>
      </w:r>
      <w:bookmarkEnd w:id="44"/>
      <w:bookmarkEnd w:id="45"/>
      <w:bookmarkEnd w:id="46"/>
    </w:p>
    <w:p w14:paraId="1DB020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附件1：应急组织机构名单</w:t>
      </w:r>
    </w:p>
    <w:p w14:paraId="23B8A3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附件2：温泉镇环境突发事件应急物资清单</w:t>
      </w:r>
    </w:p>
    <w:p w14:paraId="075AA0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附件3：开州区生态环境局应急物资储备情况</w:t>
      </w:r>
    </w:p>
    <w:p w14:paraId="0122A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附图1：开州区行政区划图</w:t>
      </w:r>
    </w:p>
    <w:p w14:paraId="404377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附图2：开州区水系图</w:t>
      </w:r>
    </w:p>
    <w:p w14:paraId="159DC6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附图3-1  开州区温泉镇东河温泉供水站水源地地理位置图</w:t>
      </w:r>
    </w:p>
    <w:p w14:paraId="0B3358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附图3-2  开州区温泉镇东河温泉场镇集中供水工程水源地地理位置图</w:t>
      </w:r>
    </w:p>
    <w:p w14:paraId="174C7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附图4-1  开州区温泉镇东河温泉供水站水源地及固定、移动风险源分布图</w:t>
      </w:r>
    </w:p>
    <w:p w14:paraId="584907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附图4-2  开州区温泉镇东河温泉场镇集中供水工程水源地及固定、移动风险源分布图</w:t>
      </w:r>
    </w:p>
    <w:p w14:paraId="3E8CB0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附图5 突发环境事件应急物资分布图</w:t>
      </w:r>
    </w:p>
    <w:p w14:paraId="56B146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附图6 饮用水源地监测点位分布图</w:t>
      </w:r>
    </w:p>
    <w:p w14:paraId="793C1DAF">
      <w:pPr>
        <w:widowControl/>
        <w:adjustRightInd w:val="0"/>
        <w:snapToGrid w:val="0"/>
        <w:spacing w:line="520" w:lineRule="exact"/>
        <w:ind w:firstLine="480" w:firstLineChars="200"/>
        <w:rPr>
          <w:rFonts w:hint="eastAsia"/>
          <w:color w:val="FF0000"/>
          <w:sz w:val="24"/>
        </w:rPr>
      </w:pPr>
    </w:p>
    <w:p w14:paraId="7D73B04B">
      <w:pPr>
        <w:widowControl/>
        <w:adjustRightInd w:val="0"/>
        <w:snapToGrid w:val="0"/>
        <w:spacing w:line="520" w:lineRule="exact"/>
        <w:ind w:firstLine="480" w:firstLineChars="200"/>
        <w:rPr>
          <w:rFonts w:hint="eastAsia"/>
          <w:color w:val="FF0000"/>
          <w:sz w:val="24"/>
        </w:rPr>
      </w:pPr>
    </w:p>
    <w:p w14:paraId="2381CD8B">
      <w:pPr>
        <w:widowControl/>
        <w:adjustRightInd w:val="0"/>
        <w:snapToGrid w:val="0"/>
        <w:spacing w:line="520" w:lineRule="exact"/>
        <w:ind w:firstLine="480" w:firstLineChars="200"/>
        <w:rPr>
          <w:rFonts w:hint="eastAsia"/>
          <w:color w:val="FF0000"/>
          <w:sz w:val="24"/>
        </w:rPr>
      </w:pPr>
    </w:p>
    <w:p w14:paraId="3CCF96AE">
      <w:pPr>
        <w:widowControl/>
        <w:adjustRightInd w:val="0"/>
        <w:snapToGrid w:val="0"/>
        <w:spacing w:line="520" w:lineRule="exact"/>
        <w:ind w:firstLine="480" w:firstLineChars="200"/>
        <w:rPr>
          <w:rFonts w:hint="eastAsia"/>
          <w:color w:val="FF0000"/>
          <w:sz w:val="24"/>
        </w:rPr>
      </w:pPr>
    </w:p>
    <w:p w14:paraId="6F708A63">
      <w:pPr>
        <w:widowControl/>
        <w:adjustRightInd w:val="0"/>
        <w:snapToGrid w:val="0"/>
        <w:spacing w:line="520" w:lineRule="exact"/>
        <w:ind w:firstLine="480" w:firstLineChars="200"/>
        <w:rPr>
          <w:rFonts w:hint="eastAsia"/>
          <w:color w:val="FF0000"/>
          <w:sz w:val="24"/>
        </w:rPr>
      </w:pPr>
    </w:p>
    <w:p w14:paraId="387C8FC9">
      <w:pPr>
        <w:widowControl/>
        <w:adjustRightInd w:val="0"/>
        <w:snapToGrid w:val="0"/>
        <w:spacing w:line="520" w:lineRule="exact"/>
        <w:ind w:firstLine="480" w:firstLineChars="200"/>
        <w:rPr>
          <w:rFonts w:hint="eastAsia"/>
          <w:color w:val="FF0000"/>
          <w:sz w:val="24"/>
        </w:rPr>
      </w:pPr>
    </w:p>
    <w:p w14:paraId="6BCE014E">
      <w:pPr>
        <w:widowControl/>
        <w:adjustRightInd w:val="0"/>
        <w:snapToGrid w:val="0"/>
        <w:spacing w:line="520" w:lineRule="exact"/>
        <w:ind w:firstLine="480" w:firstLineChars="200"/>
        <w:rPr>
          <w:rFonts w:hint="eastAsia"/>
          <w:color w:val="FF0000"/>
          <w:sz w:val="24"/>
        </w:rPr>
      </w:pPr>
    </w:p>
    <w:p w14:paraId="5EFC06B5">
      <w:pPr>
        <w:widowControl/>
        <w:adjustRightInd w:val="0"/>
        <w:snapToGrid w:val="0"/>
        <w:spacing w:line="520" w:lineRule="exact"/>
        <w:ind w:firstLine="480" w:firstLineChars="200"/>
        <w:rPr>
          <w:rFonts w:hint="eastAsia"/>
          <w:color w:val="FF0000"/>
          <w:sz w:val="24"/>
        </w:rPr>
      </w:pPr>
    </w:p>
    <w:p w14:paraId="369084CB">
      <w:pPr>
        <w:widowControl/>
        <w:adjustRightInd w:val="0"/>
        <w:snapToGrid w:val="0"/>
        <w:spacing w:line="520" w:lineRule="exact"/>
        <w:ind w:firstLine="480" w:firstLineChars="200"/>
        <w:rPr>
          <w:rFonts w:hint="eastAsia"/>
          <w:color w:val="FF0000"/>
          <w:sz w:val="24"/>
        </w:rPr>
      </w:pPr>
    </w:p>
    <w:p w14:paraId="783E2103">
      <w:pPr>
        <w:widowControl/>
        <w:adjustRightInd w:val="0"/>
        <w:snapToGrid w:val="0"/>
        <w:spacing w:line="520" w:lineRule="exact"/>
        <w:ind w:firstLine="480" w:firstLineChars="200"/>
        <w:rPr>
          <w:rFonts w:hint="eastAsia"/>
          <w:color w:val="FF0000"/>
          <w:sz w:val="24"/>
        </w:rPr>
      </w:pPr>
    </w:p>
    <w:p w14:paraId="3A6E95D8">
      <w:pPr>
        <w:widowControl/>
        <w:adjustRightInd w:val="0"/>
        <w:snapToGrid w:val="0"/>
        <w:spacing w:line="520" w:lineRule="exact"/>
        <w:ind w:firstLine="480" w:firstLineChars="200"/>
        <w:rPr>
          <w:rFonts w:hint="eastAsia"/>
          <w:color w:val="FF0000"/>
          <w:sz w:val="24"/>
        </w:rPr>
      </w:pPr>
    </w:p>
    <w:p w14:paraId="64495F7B">
      <w:pPr>
        <w:rPr>
          <w:rFonts w:hint="eastAsia" w:ascii="宋体" w:hAnsi="宋体" w:eastAsia="宋体" w:cs="宋体"/>
          <w:color w:val="auto"/>
          <w:sz w:val="28"/>
          <w:szCs w:val="28"/>
        </w:rPr>
      </w:pPr>
      <w:bookmarkStart w:id="147" w:name="_Toc22773"/>
      <w:r>
        <w:rPr>
          <w:rFonts w:hint="eastAsia" w:ascii="宋体" w:hAnsi="宋体" w:eastAsia="宋体" w:cs="宋体"/>
          <w:color w:val="auto"/>
          <w:sz w:val="28"/>
          <w:szCs w:val="28"/>
        </w:rPr>
        <w:br w:type="page"/>
      </w:r>
    </w:p>
    <w:p w14:paraId="685648C1">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eastAsia="宋体" w:cs="宋体"/>
          <w:color w:val="auto"/>
          <w:sz w:val="21"/>
          <w:szCs w:val="21"/>
          <w:lang w:val="en-US" w:eastAsia="zh-CN"/>
        </w:rPr>
      </w:pPr>
      <w:bookmarkStart w:id="148" w:name="_Toc31014"/>
      <w:r>
        <w:rPr>
          <w:rFonts w:hint="eastAsia" w:ascii="宋体" w:hAnsi="宋体" w:eastAsia="宋体" w:cs="宋体"/>
          <w:color w:val="auto"/>
          <w:sz w:val="28"/>
          <w:szCs w:val="28"/>
        </w:rPr>
        <w:t>附件1：</w:t>
      </w:r>
      <w:r>
        <w:rPr>
          <w:rFonts w:hint="eastAsia" w:ascii="宋体" w:hAnsi="宋体" w:eastAsia="宋体" w:cs="宋体"/>
          <w:color w:val="auto"/>
          <w:sz w:val="28"/>
          <w:szCs w:val="28"/>
          <w:lang w:val="en-US" w:eastAsia="zh-CN"/>
        </w:rPr>
        <w:t>应急组织机构名单</w:t>
      </w:r>
      <w:bookmarkEnd w:id="147"/>
      <w:bookmarkEnd w:id="148"/>
    </w:p>
    <w:p w14:paraId="47CC7279">
      <w:pPr>
        <w:widowControl/>
        <w:jc w:val="center"/>
        <w:rPr>
          <w:rFonts w:hint="eastAsia" w:ascii="宋体" w:hAnsi="宋体" w:cs="宋体"/>
          <w:b/>
          <w:bCs/>
          <w:color w:val="auto"/>
          <w:kern w:val="0"/>
          <w:sz w:val="24"/>
        </w:rPr>
      </w:pPr>
      <w:r>
        <w:rPr>
          <w:rFonts w:hint="eastAsia" w:ascii="宋体" w:hAnsi="宋体" w:cs="宋体"/>
          <w:b/>
          <w:bCs/>
          <w:color w:val="auto"/>
          <w:kern w:val="0"/>
          <w:sz w:val="24"/>
        </w:rPr>
        <w:t>应急队伍名单</w:t>
      </w:r>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313"/>
        <w:gridCol w:w="1286"/>
        <w:gridCol w:w="2526"/>
        <w:gridCol w:w="1636"/>
      </w:tblGrid>
      <w:tr w14:paraId="7F34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tcBorders>
              <w:tl2br w:val="nil"/>
              <w:tr2bl w:val="nil"/>
            </w:tcBorders>
            <w:noWrap w:val="0"/>
            <w:vAlign w:val="center"/>
          </w:tcPr>
          <w:p w14:paraId="21BF21F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rPr>
              <w:t>应急</w:t>
            </w:r>
            <w:r>
              <w:rPr>
                <w:rFonts w:hint="eastAsia" w:ascii="宋体" w:hAnsi="宋体" w:eastAsia="宋体" w:cs="宋体"/>
                <w:b w:val="0"/>
                <w:bCs w:val="0"/>
                <w:color w:val="auto"/>
                <w:sz w:val="21"/>
                <w:szCs w:val="21"/>
                <w:lang w:eastAsia="zh-CN"/>
              </w:rPr>
              <w:t>组织机构</w:t>
            </w:r>
          </w:p>
        </w:tc>
        <w:tc>
          <w:tcPr>
            <w:tcW w:w="1313" w:type="dxa"/>
            <w:tcBorders>
              <w:tl2br w:val="nil"/>
              <w:tr2bl w:val="nil"/>
            </w:tcBorders>
            <w:noWrap w:val="0"/>
            <w:vAlign w:val="center"/>
          </w:tcPr>
          <w:p w14:paraId="06883628">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应急职务</w:t>
            </w:r>
          </w:p>
        </w:tc>
        <w:tc>
          <w:tcPr>
            <w:tcW w:w="1286" w:type="dxa"/>
            <w:tcBorders>
              <w:tl2br w:val="nil"/>
              <w:tr2bl w:val="nil"/>
            </w:tcBorders>
            <w:noWrap w:val="0"/>
            <w:vAlign w:val="center"/>
          </w:tcPr>
          <w:p w14:paraId="1992BD3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姓名</w:t>
            </w:r>
          </w:p>
        </w:tc>
        <w:tc>
          <w:tcPr>
            <w:tcW w:w="2526" w:type="dxa"/>
            <w:tcBorders>
              <w:tl2br w:val="nil"/>
              <w:tr2bl w:val="nil"/>
            </w:tcBorders>
            <w:noWrap w:val="0"/>
            <w:vAlign w:val="center"/>
          </w:tcPr>
          <w:p w14:paraId="6A23C1B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部门（职务）</w:t>
            </w:r>
          </w:p>
        </w:tc>
        <w:tc>
          <w:tcPr>
            <w:tcW w:w="1636" w:type="dxa"/>
            <w:tcBorders>
              <w:tl2br w:val="nil"/>
              <w:tr2bl w:val="nil"/>
            </w:tcBorders>
            <w:noWrap w:val="0"/>
            <w:vAlign w:val="center"/>
          </w:tcPr>
          <w:p w14:paraId="42CCCB4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联系电话</w:t>
            </w:r>
          </w:p>
        </w:tc>
      </w:tr>
      <w:tr w14:paraId="66B6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restart"/>
            <w:tcBorders>
              <w:tl2br w:val="nil"/>
              <w:tr2bl w:val="nil"/>
            </w:tcBorders>
            <w:noWrap w:val="0"/>
            <w:vAlign w:val="center"/>
          </w:tcPr>
          <w:p w14:paraId="076EA48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应急领导小组</w:t>
            </w:r>
          </w:p>
        </w:tc>
        <w:tc>
          <w:tcPr>
            <w:tcW w:w="1313" w:type="dxa"/>
            <w:tcBorders>
              <w:tl2br w:val="nil"/>
              <w:tr2bl w:val="nil"/>
            </w:tcBorders>
            <w:noWrap w:val="0"/>
            <w:vAlign w:val="center"/>
          </w:tcPr>
          <w:p w14:paraId="6605C66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组长</w:t>
            </w:r>
          </w:p>
        </w:tc>
        <w:tc>
          <w:tcPr>
            <w:tcW w:w="1286" w:type="dxa"/>
            <w:tcBorders>
              <w:tl2br w:val="nil"/>
              <w:tr2bl w:val="nil"/>
            </w:tcBorders>
            <w:noWrap w:val="0"/>
            <w:vAlign w:val="center"/>
          </w:tcPr>
          <w:p w14:paraId="5295AA95">
            <w:pPr>
              <w:spacing w:line="300" w:lineRule="atLeas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邹品生</w:t>
            </w:r>
          </w:p>
        </w:tc>
        <w:tc>
          <w:tcPr>
            <w:tcW w:w="2526" w:type="dxa"/>
            <w:tcBorders>
              <w:tl2br w:val="nil"/>
              <w:tr2bl w:val="nil"/>
            </w:tcBorders>
            <w:noWrap w:val="0"/>
            <w:vAlign w:val="center"/>
          </w:tcPr>
          <w:p w14:paraId="6AEA226B">
            <w:pPr>
              <w:spacing w:line="300" w:lineRule="atLeas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党委书记</w:t>
            </w:r>
          </w:p>
        </w:tc>
        <w:tc>
          <w:tcPr>
            <w:tcW w:w="1636" w:type="dxa"/>
            <w:tcBorders>
              <w:tl2br w:val="nil"/>
              <w:tr2bl w:val="nil"/>
            </w:tcBorders>
            <w:noWrap w:val="0"/>
            <w:vAlign w:val="center"/>
          </w:tcPr>
          <w:p w14:paraId="66137F83">
            <w:pPr>
              <w:spacing w:line="300" w:lineRule="atLeas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u w:val="none"/>
                <w:lang w:val="en-US" w:eastAsia="zh-CN" w:bidi="ar"/>
              </w:rPr>
              <w:t>13896232617</w:t>
            </w:r>
          </w:p>
        </w:tc>
      </w:tr>
      <w:tr w14:paraId="5062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tcBorders>
              <w:tl2br w:val="nil"/>
              <w:tr2bl w:val="nil"/>
            </w:tcBorders>
            <w:noWrap w:val="0"/>
            <w:vAlign w:val="center"/>
          </w:tcPr>
          <w:p w14:paraId="43267C9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313" w:type="dxa"/>
            <w:vMerge w:val="restart"/>
            <w:tcBorders>
              <w:tl2br w:val="nil"/>
              <w:tr2bl w:val="nil"/>
            </w:tcBorders>
            <w:noWrap w:val="0"/>
            <w:vAlign w:val="center"/>
          </w:tcPr>
          <w:p w14:paraId="1C628FC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副组长</w:t>
            </w:r>
          </w:p>
        </w:tc>
        <w:tc>
          <w:tcPr>
            <w:tcW w:w="1286" w:type="dxa"/>
            <w:tcBorders>
              <w:tl2br w:val="nil"/>
              <w:tr2bl w:val="nil"/>
            </w:tcBorders>
            <w:noWrap w:val="0"/>
            <w:vAlign w:val="center"/>
          </w:tcPr>
          <w:p w14:paraId="51C2E626">
            <w:pPr>
              <w:spacing w:line="300" w:lineRule="atLeas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宋乾立</w:t>
            </w:r>
          </w:p>
        </w:tc>
        <w:tc>
          <w:tcPr>
            <w:tcW w:w="2526" w:type="dxa"/>
            <w:tcBorders>
              <w:tl2br w:val="nil"/>
              <w:tr2bl w:val="nil"/>
            </w:tcBorders>
            <w:noWrap w:val="0"/>
            <w:vAlign w:val="center"/>
          </w:tcPr>
          <w:p w14:paraId="17927790">
            <w:pPr>
              <w:spacing w:line="300" w:lineRule="atLeas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镇长</w:t>
            </w:r>
          </w:p>
        </w:tc>
        <w:tc>
          <w:tcPr>
            <w:tcW w:w="1636" w:type="dxa"/>
            <w:tcBorders>
              <w:tl2br w:val="nil"/>
              <w:tr2bl w:val="nil"/>
            </w:tcBorders>
            <w:noWrap w:val="0"/>
            <w:vAlign w:val="center"/>
          </w:tcPr>
          <w:p w14:paraId="55790832">
            <w:pPr>
              <w:spacing w:line="300" w:lineRule="atLeas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15178982678</w:t>
            </w:r>
          </w:p>
        </w:tc>
      </w:tr>
      <w:tr w14:paraId="50D3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tcBorders>
              <w:tl2br w:val="nil"/>
              <w:tr2bl w:val="nil"/>
            </w:tcBorders>
            <w:noWrap w:val="0"/>
            <w:vAlign w:val="center"/>
          </w:tcPr>
          <w:p w14:paraId="7A851AE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313" w:type="dxa"/>
            <w:vMerge w:val="continue"/>
            <w:tcBorders>
              <w:tl2br w:val="nil"/>
              <w:tr2bl w:val="nil"/>
            </w:tcBorders>
            <w:noWrap w:val="0"/>
            <w:vAlign w:val="center"/>
          </w:tcPr>
          <w:p w14:paraId="428D18F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86" w:type="dxa"/>
            <w:tcBorders>
              <w:tl2br w:val="nil"/>
              <w:tr2bl w:val="nil"/>
            </w:tcBorders>
            <w:noWrap w:val="0"/>
            <w:vAlign w:val="center"/>
          </w:tcPr>
          <w:p w14:paraId="0B06D7B1">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刘闯</w:t>
            </w:r>
          </w:p>
        </w:tc>
        <w:tc>
          <w:tcPr>
            <w:tcW w:w="2526" w:type="dxa"/>
            <w:tcBorders>
              <w:tl2br w:val="nil"/>
              <w:tr2bl w:val="nil"/>
            </w:tcBorders>
            <w:noWrap w:val="0"/>
            <w:vAlign w:val="center"/>
          </w:tcPr>
          <w:p w14:paraId="16BA6513">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副书记</w:t>
            </w:r>
          </w:p>
        </w:tc>
        <w:tc>
          <w:tcPr>
            <w:tcW w:w="1636" w:type="dxa"/>
            <w:tcBorders>
              <w:tl2br w:val="nil"/>
              <w:tr2bl w:val="nil"/>
            </w:tcBorders>
            <w:noWrap w:val="0"/>
            <w:vAlign w:val="center"/>
          </w:tcPr>
          <w:p w14:paraId="4B7DB8B7">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17723235679</w:t>
            </w:r>
          </w:p>
        </w:tc>
      </w:tr>
      <w:tr w14:paraId="76D4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tcBorders>
              <w:tl2br w:val="nil"/>
              <w:tr2bl w:val="nil"/>
            </w:tcBorders>
            <w:noWrap w:val="0"/>
            <w:vAlign w:val="center"/>
          </w:tcPr>
          <w:p w14:paraId="6FD582F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313" w:type="dxa"/>
            <w:vMerge w:val="continue"/>
            <w:tcBorders>
              <w:tl2br w:val="nil"/>
              <w:tr2bl w:val="nil"/>
            </w:tcBorders>
            <w:noWrap w:val="0"/>
            <w:vAlign w:val="center"/>
          </w:tcPr>
          <w:p w14:paraId="4E87A23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86" w:type="dxa"/>
            <w:tcBorders>
              <w:tl2br w:val="nil"/>
              <w:tr2bl w:val="nil"/>
            </w:tcBorders>
            <w:noWrap w:val="0"/>
            <w:vAlign w:val="center"/>
          </w:tcPr>
          <w:p w14:paraId="573AE459">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谭万军</w:t>
            </w:r>
          </w:p>
        </w:tc>
        <w:tc>
          <w:tcPr>
            <w:tcW w:w="2526" w:type="dxa"/>
            <w:tcBorders>
              <w:tl2br w:val="nil"/>
              <w:tr2bl w:val="nil"/>
            </w:tcBorders>
            <w:noWrap w:val="0"/>
            <w:vAlign w:val="center"/>
          </w:tcPr>
          <w:p w14:paraId="7BD7F958">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副镇长</w:t>
            </w:r>
          </w:p>
        </w:tc>
        <w:tc>
          <w:tcPr>
            <w:tcW w:w="1636" w:type="dxa"/>
            <w:tcBorders>
              <w:tl2br w:val="nil"/>
              <w:tr2bl w:val="nil"/>
            </w:tcBorders>
            <w:noWrap w:val="0"/>
            <w:vAlign w:val="center"/>
          </w:tcPr>
          <w:p w14:paraId="619E1149">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15123591133</w:t>
            </w:r>
          </w:p>
        </w:tc>
      </w:tr>
      <w:tr w14:paraId="0786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tcBorders>
              <w:tl2br w:val="nil"/>
              <w:tr2bl w:val="nil"/>
            </w:tcBorders>
            <w:noWrap w:val="0"/>
            <w:vAlign w:val="center"/>
          </w:tcPr>
          <w:p w14:paraId="08A4B24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313" w:type="dxa"/>
            <w:vMerge w:val="continue"/>
            <w:tcBorders>
              <w:tl2br w:val="nil"/>
              <w:tr2bl w:val="nil"/>
            </w:tcBorders>
            <w:noWrap w:val="0"/>
            <w:vAlign w:val="center"/>
          </w:tcPr>
          <w:p w14:paraId="4D1C994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86" w:type="dxa"/>
            <w:tcBorders>
              <w:tl2br w:val="nil"/>
              <w:tr2bl w:val="nil"/>
            </w:tcBorders>
            <w:noWrap w:val="0"/>
            <w:vAlign w:val="center"/>
          </w:tcPr>
          <w:p w14:paraId="69153B95">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陈安静</w:t>
            </w:r>
          </w:p>
        </w:tc>
        <w:tc>
          <w:tcPr>
            <w:tcW w:w="2526" w:type="dxa"/>
            <w:tcBorders>
              <w:tl2br w:val="nil"/>
              <w:tr2bl w:val="nil"/>
            </w:tcBorders>
            <w:noWrap w:val="0"/>
            <w:vAlign w:val="center"/>
          </w:tcPr>
          <w:p w14:paraId="3EEA68D9">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副镇长</w:t>
            </w:r>
          </w:p>
        </w:tc>
        <w:tc>
          <w:tcPr>
            <w:tcW w:w="1636" w:type="dxa"/>
            <w:tcBorders>
              <w:tl2br w:val="nil"/>
              <w:tr2bl w:val="nil"/>
            </w:tcBorders>
            <w:noWrap w:val="0"/>
            <w:vAlign w:val="center"/>
          </w:tcPr>
          <w:p w14:paraId="062E85B2">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13436221868</w:t>
            </w:r>
          </w:p>
        </w:tc>
      </w:tr>
      <w:tr w14:paraId="4953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1D2C877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313" w:type="dxa"/>
            <w:vMerge w:val="restart"/>
            <w:noWrap w:val="0"/>
            <w:vAlign w:val="center"/>
          </w:tcPr>
          <w:p w14:paraId="220FFE9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成员</w:t>
            </w:r>
          </w:p>
        </w:tc>
        <w:tc>
          <w:tcPr>
            <w:tcW w:w="1286" w:type="dxa"/>
            <w:noWrap w:val="0"/>
            <w:vAlign w:val="center"/>
          </w:tcPr>
          <w:p w14:paraId="00C4653F">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lang w:val="en-US" w:eastAsia="zh-CN"/>
              </w:rPr>
              <w:t>李亚玲</w:t>
            </w:r>
          </w:p>
        </w:tc>
        <w:tc>
          <w:tcPr>
            <w:tcW w:w="2526" w:type="dxa"/>
            <w:noWrap w:val="0"/>
            <w:vAlign w:val="center"/>
          </w:tcPr>
          <w:p w14:paraId="27CC97B1">
            <w:pPr>
              <w:spacing w:line="300" w:lineRule="atLeast"/>
              <w:jc w:val="center"/>
              <w:rPr>
                <w:rFonts w:hint="eastAsia" w:ascii="宋体" w:hAnsi="宋体" w:eastAsia="宋体" w:cs="宋体"/>
                <w:color w:val="auto"/>
                <w:spacing w:val="0"/>
                <w:kern w:val="2"/>
                <w:sz w:val="21"/>
                <w:szCs w:val="21"/>
                <w:lang w:val="en-US" w:eastAsia="zh-CN" w:bidi="ar-SA"/>
              </w:rPr>
            </w:pPr>
            <w:r>
              <w:rPr>
                <w:rFonts w:hint="eastAsia" w:ascii="宋体" w:hAnsi="宋体" w:eastAsia="宋体" w:cs="宋体"/>
                <w:sz w:val="21"/>
                <w:szCs w:val="21"/>
                <w:lang w:val="en-US" w:eastAsia="zh-CN"/>
              </w:rPr>
              <w:t>河西社区书记</w:t>
            </w:r>
          </w:p>
        </w:tc>
        <w:tc>
          <w:tcPr>
            <w:tcW w:w="1636" w:type="dxa"/>
            <w:noWrap w:val="0"/>
            <w:vAlign w:val="center"/>
          </w:tcPr>
          <w:p w14:paraId="53CED1BC">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lang w:val="en-US" w:eastAsia="zh-CN"/>
              </w:rPr>
              <w:t>13594408093</w:t>
            </w:r>
          </w:p>
        </w:tc>
      </w:tr>
      <w:tr w14:paraId="4241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219E2BD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continue"/>
            <w:noWrap w:val="0"/>
            <w:vAlign w:val="center"/>
          </w:tcPr>
          <w:p w14:paraId="3B82200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86" w:type="dxa"/>
            <w:noWrap w:val="0"/>
            <w:vAlign w:val="center"/>
          </w:tcPr>
          <w:p w14:paraId="5651C315">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刘加生</w:t>
            </w:r>
          </w:p>
        </w:tc>
        <w:tc>
          <w:tcPr>
            <w:tcW w:w="2526" w:type="dxa"/>
            <w:noWrap w:val="0"/>
            <w:vAlign w:val="center"/>
          </w:tcPr>
          <w:p w14:paraId="552C5AA7">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产业发展中心</w:t>
            </w:r>
          </w:p>
        </w:tc>
        <w:tc>
          <w:tcPr>
            <w:tcW w:w="1636" w:type="dxa"/>
            <w:noWrap w:val="0"/>
            <w:vAlign w:val="center"/>
          </w:tcPr>
          <w:p w14:paraId="7C1A7C63">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18002356789</w:t>
            </w:r>
          </w:p>
        </w:tc>
      </w:tr>
      <w:tr w14:paraId="49B4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626FCF9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continue"/>
            <w:noWrap w:val="0"/>
            <w:vAlign w:val="center"/>
          </w:tcPr>
          <w:p w14:paraId="7FB355D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86" w:type="dxa"/>
            <w:noWrap w:val="0"/>
            <w:vAlign w:val="center"/>
          </w:tcPr>
          <w:p w14:paraId="5AC557EB">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兰蔚</w:t>
            </w:r>
          </w:p>
        </w:tc>
        <w:tc>
          <w:tcPr>
            <w:tcW w:w="2526" w:type="dxa"/>
            <w:noWrap w:val="0"/>
            <w:vAlign w:val="center"/>
          </w:tcPr>
          <w:p w14:paraId="1AAE1A9C">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村镇建设服务中心</w:t>
            </w:r>
          </w:p>
        </w:tc>
        <w:tc>
          <w:tcPr>
            <w:tcW w:w="1636" w:type="dxa"/>
            <w:noWrap w:val="0"/>
            <w:vAlign w:val="center"/>
          </w:tcPr>
          <w:p w14:paraId="6A43F601">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15178945002 </w:t>
            </w:r>
          </w:p>
        </w:tc>
      </w:tr>
      <w:tr w14:paraId="1263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2011894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continue"/>
            <w:noWrap w:val="0"/>
            <w:vAlign w:val="center"/>
          </w:tcPr>
          <w:p w14:paraId="7F1C4BF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86" w:type="dxa"/>
            <w:noWrap w:val="0"/>
            <w:vAlign w:val="center"/>
          </w:tcPr>
          <w:p w14:paraId="505653A4">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梅钊发</w:t>
            </w:r>
          </w:p>
        </w:tc>
        <w:tc>
          <w:tcPr>
            <w:tcW w:w="2526" w:type="dxa"/>
            <w:noWrap w:val="0"/>
            <w:vAlign w:val="center"/>
          </w:tcPr>
          <w:p w14:paraId="6FCFEBFB">
            <w:pPr>
              <w:spacing w:line="30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经济发展中心</w:t>
            </w:r>
          </w:p>
        </w:tc>
        <w:tc>
          <w:tcPr>
            <w:tcW w:w="1636" w:type="dxa"/>
            <w:noWrap w:val="0"/>
            <w:vAlign w:val="center"/>
          </w:tcPr>
          <w:p w14:paraId="7B91884B">
            <w:pPr>
              <w:spacing w:line="300" w:lineRule="atLeas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15123495163</w:t>
            </w:r>
          </w:p>
        </w:tc>
      </w:tr>
      <w:tr w14:paraId="18B8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restart"/>
            <w:noWrap w:val="0"/>
            <w:vAlign w:val="center"/>
          </w:tcPr>
          <w:p w14:paraId="47D780E2">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现场处置组</w:t>
            </w:r>
          </w:p>
        </w:tc>
        <w:tc>
          <w:tcPr>
            <w:tcW w:w="1313" w:type="dxa"/>
            <w:noWrap w:val="0"/>
            <w:vAlign w:val="center"/>
          </w:tcPr>
          <w:p w14:paraId="7EA0AF65">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1286" w:type="dxa"/>
            <w:noWrap w:val="0"/>
            <w:vAlign w:val="center"/>
          </w:tcPr>
          <w:p w14:paraId="685BDE6B">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谭万军</w:t>
            </w:r>
          </w:p>
        </w:tc>
        <w:tc>
          <w:tcPr>
            <w:tcW w:w="2526" w:type="dxa"/>
            <w:noWrap w:val="0"/>
            <w:vAlign w:val="center"/>
          </w:tcPr>
          <w:p w14:paraId="7CEE7C9E">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副镇长</w:t>
            </w:r>
          </w:p>
        </w:tc>
        <w:tc>
          <w:tcPr>
            <w:tcW w:w="1636" w:type="dxa"/>
            <w:noWrap w:val="0"/>
            <w:vAlign w:val="center"/>
          </w:tcPr>
          <w:p w14:paraId="4BEF0731">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15123591133</w:t>
            </w:r>
          </w:p>
        </w:tc>
      </w:tr>
      <w:tr w14:paraId="053F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4C3CF87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restart"/>
            <w:noWrap w:val="0"/>
            <w:vAlign w:val="center"/>
          </w:tcPr>
          <w:p w14:paraId="61CCDFE3">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1286" w:type="dxa"/>
            <w:noWrap w:val="0"/>
            <w:vAlign w:val="center"/>
          </w:tcPr>
          <w:p w14:paraId="1E3B4045">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陈安静</w:t>
            </w:r>
          </w:p>
        </w:tc>
        <w:tc>
          <w:tcPr>
            <w:tcW w:w="2526" w:type="dxa"/>
            <w:noWrap w:val="0"/>
            <w:vAlign w:val="center"/>
          </w:tcPr>
          <w:p w14:paraId="46251BD4">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副镇长</w:t>
            </w:r>
          </w:p>
        </w:tc>
        <w:tc>
          <w:tcPr>
            <w:tcW w:w="1636" w:type="dxa"/>
            <w:noWrap w:val="0"/>
            <w:vAlign w:val="center"/>
          </w:tcPr>
          <w:p w14:paraId="027B45A9">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13436221868</w:t>
            </w:r>
          </w:p>
        </w:tc>
      </w:tr>
      <w:tr w14:paraId="4189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1D13E7B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continue"/>
            <w:noWrap w:val="0"/>
            <w:vAlign w:val="center"/>
          </w:tcPr>
          <w:p w14:paraId="045CDF4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86" w:type="dxa"/>
            <w:noWrap w:val="0"/>
            <w:vAlign w:val="center"/>
          </w:tcPr>
          <w:p w14:paraId="6A81AA89">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黎斌</w:t>
            </w:r>
          </w:p>
        </w:tc>
        <w:tc>
          <w:tcPr>
            <w:tcW w:w="2526" w:type="dxa"/>
            <w:noWrap w:val="0"/>
            <w:vAlign w:val="center"/>
          </w:tcPr>
          <w:p w14:paraId="74D8B833">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村镇建设服务中心副主任</w:t>
            </w:r>
          </w:p>
        </w:tc>
        <w:tc>
          <w:tcPr>
            <w:tcW w:w="1636" w:type="dxa"/>
            <w:noWrap w:val="0"/>
            <w:vAlign w:val="center"/>
          </w:tcPr>
          <w:p w14:paraId="1978DA4A">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13668446066</w:t>
            </w:r>
          </w:p>
        </w:tc>
      </w:tr>
      <w:tr w14:paraId="41D3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restart"/>
            <w:noWrap w:val="0"/>
            <w:vAlign w:val="center"/>
          </w:tcPr>
          <w:p w14:paraId="64CEF095">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综合协调组</w:t>
            </w:r>
          </w:p>
        </w:tc>
        <w:tc>
          <w:tcPr>
            <w:tcW w:w="1313" w:type="dxa"/>
            <w:noWrap w:val="0"/>
            <w:vAlign w:val="center"/>
          </w:tcPr>
          <w:p w14:paraId="0FCAD145">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1286" w:type="dxa"/>
            <w:noWrap w:val="0"/>
            <w:vAlign w:val="center"/>
          </w:tcPr>
          <w:p w14:paraId="1D9945D2">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刘闯</w:t>
            </w:r>
          </w:p>
        </w:tc>
        <w:tc>
          <w:tcPr>
            <w:tcW w:w="2526" w:type="dxa"/>
            <w:noWrap w:val="0"/>
            <w:vAlign w:val="center"/>
          </w:tcPr>
          <w:p w14:paraId="397259DA">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副书记</w:t>
            </w:r>
          </w:p>
        </w:tc>
        <w:tc>
          <w:tcPr>
            <w:tcW w:w="1636" w:type="dxa"/>
            <w:noWrap w:val="0"/>
            <w:vAlign w:val="center"/>
          </w:tcPr>
          <w:p w14:paraId="596581F4">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13452631599</w:t>
            </w:r>
          </w:p>
        </w:tc>
      </w:tr>
      <w:tr w14:paraId="7870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540873B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restart"/>
            <w:noWrap w:val="0"/>
            <w:vAlign w:val="center"/>
          </w:tcPr>
          <w:p w14:paraId="3181C667">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1286" w:type="dxa"/>
            <w:noWrap w:val="0"/>
            <w:vAlign w:val="center"/>
          </w:tcPr>
          <w:p w14:paraId="65D7DE44">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张洪</w:t>
            </w:r>
          </w:p>
        </w:tc>
        <w:tc>
          <w:tcPr>
            <w:tcW w:w="2526" w:type="dxa"/>
            <w:noWrap w:val="0"/>
            <w:vAlign w:val="center"/>
          </w:tcPr>
          <w:p w14:paraId="07D889BB">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平安法治办主任</w:t>
            </w:r>
          </w:p>
        </w:tc>
        <w:tc>
          <w:tcPr>
            <w:tcW w:w="1636" w:type="dxa"/>
            <w:noWrap w:val="0"/>
            <w:vAlign w:val="center"/>
          </w:tcPr>
          <w:p w14:paraId="3B86B6C4">
            <w:pPr>
              <w:spacing w:line="300" w:lineRule="atLeas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17830515678</w:t>
            </w:r>
          </w:p>
        </w:tc>
      </w:tr>
      <w:tr w14:paraId="2198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01A6292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continue"/>
            <w:noWrap w:val="0"/>
            <w:vAlign w:val="center"/>
          </w:tcPr>
          <w:p w14:paraId="5263DAA1">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p>
        </w:tc>
        <w:tc>
          <w:tcPr>
            <w:tcW w:w="1286" w:type="dxa"/>
            <w:noWrap w:val="0"/>
            <w:vAlign w:val="center"/>
          </w:tcPr>
          <w:p w14:paraId="4A9EC812">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黄云双</w:t>
            </w:r>
          </w:p>
        </w:tc>
        <w:tc>
          <w:tcPr>
            <w:tcW w:w="2526" w:type="dxa"/>
            <w:noWrap w:val="0"/>
            <w:vAlign w:val="center"/>
          </w:tcPr>
          <w:p w14:paraId="3F44E4EF">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村镇建设服务中心职工</w:t>
            </w:r>
          </w:p>
        </w:tc>
        <w:tc>
          <w:tcPr>
            <w:tcW w:w="1636" w:type="dxa"/>
            <w:noWrap w:val="0"/>
            <w:vAlign w:val="center"/>
          </w:tcPr>
          <w:p w14:paraId="652D17EC">
            <w:pPr>
              <w:spacing w:line="300" w:lineRule="atLeas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17265599558</w:t>
            </w:r>
          </w:p>
        </w:tc>
      </w:tr>
      <w:tr w14:paraId="45D1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restart"/>
            <w:noWrap w:val="0"/>
            <w:vAlign w:val="center"/>
          </w:tcPr>
          <w:p w14:paraId="315375E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eastAsia="zh-CN"/>
              </w:rPr>
              <w:t>警戒疏散组</w:t>
            </w:r>
          </w:p>
        </w:tc>
        <w:tc>
          <w:tcPr>
            <w:tcW w:w="1313" w:type="dxa"/>
            <w:noWrap w:val="0"/>
            <w:vAlign w:val="center"/>
          </w:tcPr>
          <w:p w14:paraId="693E4DF1">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1286" w:type="dxa"/>
            <w:noWrap w:val="0"/>
            <w:vAlign w:val="center"/>
          </w:tcPr>
          <w:p w14:paraId="7DE7BAF9">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vertAlign w:val="baseline"/>
                <w:lang w:val="en-US" w:eastAsia="zh-CN" w:bidi="ar-SA"/>
              </w:rPr>
              <w:t>王端全</w:t>
            </w:r>
          </w:p>
        </w:tc>
        <w:tc>
          <w:tcPr>
            <w:tcW w:w="2526" w:type="dxa"/>
            <w:noWrap w:val="0"/>
            <w:vAlign w:val="center"/>
          </w:tcPr>
          <w:p w14:paraId="05C648E8">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温泉镇派出所所长</w:t>
            </w:r>
          </w:p>
        </w:tc>
        <w:tc>
          <w:tcPr>
            <w:tcW w:w="1636" w:type="dxa"/>
            <w:noWrap w:val="0"/>
            <w:vAlign w:val="center"/>
          </w:tcPr>
          <w:p w14:paraId="7CB36680">
            <w:pPr>
              <w:spacing w:line="300" w:lineRule="atLeast"/>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15923890746</w:t>
            </w:r>
          </w:p>
        </w:tc>
      </w:tr>
      <w:tr w14:paraId="16DA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43BC096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restart"/>
            <w:noWrap w:val="0"/>
            <w:vAlign w:val="center"/>
          </w:tcPr>
          <w:p w14:paraId="625A0AEB">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1286" w:type="dxa"/>
            <w:noWrap w:val="0"/>
            <w:vAlign w:val="center"/>
          </w:tcPr>
          <w:p w14:paraId="6CE54B10">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程刚</w:t>
            </w:r>
          </w:p>
        </w:tc>
        <w:tc>
          <w:tcPr>
            <w:tcW w:w="2526" w:type="dxa"/>
            <w:noWrap w:val="0"/>
            <w:vAlign w:val="center"/>
          </w:tcPr>
          <w:p w14:paraId="25356CC8">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综合执法大队队长</w:t>
            </w:r>
          </w:p>
        </w:tc>
        <w:tc>
          <w:tcPr>
            <w:tcW w:w="1636" w:type="dxa"/>
            <w:noWrap w:val="0"/>
            <w:vAlign w:val="center"/>
          </w:tcPr>
          <w:p w14:paraId="6DCE0CDC">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15823726988</w:t>
            </w:r>
          </w:p>
        </w:tc>
      </w:tr>
      <w:tr w14:paraId="679A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43" w:type="dxa"/>
            <w:vMerge w:val="continue"/>
            <w:noWrap w:val="0"/>
            <w:vAlign w:val="center"/>
          </w:tcPr>
          <w:p w14:paraId="503DD48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313" w:type="dxa"/>
            <w:vMerge w:val="continue"/>
            <w:noWrap w:val="0"/>
            <w:vAlign w:val="center"/>
          </w:tcPr>
          <w:p w14:paraId="4E12B6A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86" w:type="dxa"/>
            <w:noWrap w:val="0"/>
            <w:vAlign w:val="center"/>
          </w:tcPr>
          <w:p w14:paraId="1E1E7BDD">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曾勇</w:t>
            </w:r>
          </w:p>
        </w:tc>
        <w:tc>
          <w:tcPr>
            <w:tcW w:w="2526" w:type="dxa"/>
            <w:noWrap w:val="0"/>
            <w:vAlign w:val="center"/>
          </w:tcPr>
          <w:p w14:paraId="18C1615E">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平安法治办副主任</w:t>
            </w:r>
          </w:p>
        </w:tc>
        <w:tc>
          <w:tcPr>
            <w:tcW w:w="1636" w:type="dxa"/>
            <w:noWrap w:val="0"/>
            <w:vAlign w:val="center"/>
          </w:tcPr>
          <w:p w14:paraId="08500936">
            <w:pPr>
              <w:spacing w:line="3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vertAlign w:val="baseline"/>
                <w:lang w:val="en-US" w:eastAsia="zh-CN" w:bidi="ar-SA"/>
              </w:rPr>
              <w:t>13452631599</w:t>
            </w:r>
          </w:p>
        </w:tc>
      </w:tr>
    </w:tbl>
    <w:p w14:paraId="2F3D0883">
      <w:pPr>
        <w:widowControl/>
        <w:jc w:val="center"/>
        <w:rPr>
          <w:rFonts w:hint="eastAsia" w:ascii="宋体" w:hAnsi="宋体" w:cs="宋体"/>
          <w:b/>
          <w:bCs/>
          <w:color w:val="FF0000"/>
          <w:kern w:val="0"/>
          <w:sz w:val="24"/>
        </w:rPr>
      </w:pPr>
    </w:p>
    <w:p w14:paraId="3BAED648">
      <w:pPr>
        <w:pStyle w:val="19"/>
        <w:rPr>
          <w:rFonts w:hint="eastAsia" w:ascii="宋体" w:hAnsi="宋体" w:cs="宋体"/>
          <w:b/>
          <w:bCs/>
          <w:color w:val="FF0000"/>
          <w:kern w:val="0"/>
          <w:sz w:val="24"/>
        </w:rPr>
      </w:pPr>
    </w:p>
    <w:p w14:paraId="0F5AB690">
      <w:pPr>
        <w:pStyle w:val="19"/>
        <w:rPr>
          <w:rFonts w:hint="eastAsia" w:ascii="宋体" w:hAnsi="宋体" w:cs="宋体"/>
          <w:b/>
          <w:bCs/>
          <w:color w:val="FF0000"/>
          <w:kern w:val="0"/>
          <w:sz w:val="24"/>
        </w:rPr>
      </w:pPr>
    </w:p>
    <w:p w14:paraId="32BF5F5C">
      <w:pPr>
        <w:widowControl/>
        <w:jc w:val="center"/>
        <w:rPr>
          <w:rFonts w:ascii="仿宋_GB2312" w:hAnsi="宋体" w:eastAsia="仿宋_GB2312" w:cs="宋体"/>
          <w:color w:val="FF0000"/>
          <w:kern w:val="0"/>
          <w:sz w:val="24"/>
        </w:rPr>
        <w:sectPr>
          <w:footerReference r:id="rId7" w:type="default"/>
          <w:pgSz w:w="11906" w:h="16838"/>
          <w:pgMar w:top="1327" w:right="1412" w:bottom="1327" w:left="1406" w:header="720" w:footer="720" w:gutter="0"/>
          <w:pgNumType w:fmt="decimal" w:start="1"/>
          <w:cols w:space="720" w:num="1"/>
          <w:docGrid w:type="lines" w:linePitch="312" w:charSpace="0"/>
        </w:sectPr>
      </w:pPr>
    </w:p>
    <w:p w14:paraId="1584FDA7">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49" w:name="_Toc21682"/>
      <w:bookmarkStart w:id="150" w:name="_Toc26279"/>
      <w:r>
        <w:rPr>
          <w:rFonts w:hint="eastAsia" w:ascii="宋体" w:hAnsi="宋体" w:eastAsia="宋体" w:cs="宋体"/>
          <w:color w:val="auto"/>
          <w:sz w:val="28"/>
          <w:szCs w:val="28"/>
          <w:lang w:val="en-US" w:eastAsia="zh-CN"/>
        </w:rPr>
        <w:t>附件</w:t>
      </w:r>
      <w:bookmarkEnd w:id="149"/>
      <w:r>
        <w:rPr>
          <w:rFonts w:hint="eastAsia" w:ascii="宋体" w:hAnsi="宋体" w:eastAsia="宋体" w:cs="宋体"/>
          <w:color w:val="auto"/>
          <w:sz w:val="28"/>
          <w:szCs w:val="28"/>
          <w:lang w:val="en-US" w:eastAsia="zh-CN"/>
        </w:rPr>
        <w:t>2：温泉镇突发环境事件应急物资清单</w:t>
      </w:r>
      <w:bookmarkEnd w:id="150"/>
    </w:p>
    <w:p w14:paraId="6E4FAB8F">
      <w:pPr>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outlineLvl w:val="9"/>
        <w:rPr>
          <w:rFonts w:hint="eastAsia" w:ascii="宋体" w:hAnsi="宋体" w:eastAsia="宋体" w:cs="宋体"/>
          <w:b/>
          <w:bCs/>
          <w:color w:val="auto"/>
          <w:sz w:val="24"/>
          <w:szCs w:val="24"/>
        </w:rPr>
      </w:pPr>
      <w:bookmarkStart w:id="151" w:name="_Toc18193"/>
      <w:r>
        <w:rPr>
          <w:rFonts w:hint="eastAsia" w:ascii="宋体" w:hAnsi="宋体" w:eastAsia="宋体" w:cs="宋体"/>
          <w:b/>
          <w:bCs/>
          <w:color w:val="auto"/>
          <w:sz w:val="24"/>
          <w:szCs w:val="24"/>
          <w:lang w:eastAsia="zh-CN"/>
        </w:rPr>
        <w:t>温泉镇</w:t>
      </w:r>
      <w:r>
        <w:rPr>
          <w:rFonts w:hint="eastAsia" w:ascii="宋体" w:hAnsi="宋体" w:eastAsia="宋体" w:cs="宋体"/>
          <w:b/>
          <w:bCs/>
          <w:color w:val="auto"/>
          <w:sz w:val="24"/>
          <w:szCs w:val="24"/>
        </w:rPr>
        <w:t>突发环境事件应急物资清单</w:t>
      </w:r>
      <w:bookmarkEnd w:id="151"/>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907"/>
        <w:gridCol w:w="740"/>
        <w:gridCol w:w="2085"/>
        <w:gridCol w:w="1330"/>
        <w:gridCol w:w="1858"/>
      </w:tblGrid>
      <w:tr w14:paraId="59EE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3A5EA123">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83" w:type="dxa"/>
            <w:noWrap w:val="0"/>
            <w:vAlign w:val="center"/>
          </w:tcPr>
          <w:p w14:paraId="61251FE3">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物资名称</w:t>
            </w:r>
          </w:p>
        </w:tc>
        <w:tc>
          <w:tcPr>
            <w:tcW w:w="692" w:type="dxa"/>
            <w:noWrap w:val="0"/>
            <w:vAlign w:val="center"/>
          </w:tcPr>
          <w:p w14:paraId="0D8EECD1">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950" w:type="dxa"/>
            <w:noWrap w:val="0"/>
            <w:vAlign w:val="center"/>
          </w:tcPr>
          <w:p w14:paraId="5DCE28D7">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存放地点</w:t>
            </w:r>
          </w:p>
        </w:tc>
        <w:tc>
          <w:tcPr>
            <w:tcW w:w="1244" w:type="dxa"/>
            <w:noWrap w:val="0"/>
            <w:vAlign w:val="center"/>
          </w:tcPr>
          <w:p w14:paraId="0249FC87">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w:t>
            </w:r>
          </w:p>
        </w:tc>
        <w:tc>
          <w:tcPr>
            <w:tcW w:w="1737" w:type="dxa"/>
            <w:noWrap w:val="0"/>
            <w:vAlign w:val="center"/>
          </w:tcPr>
          <w:p w14:paraId="5676C18A">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联系电话</w:t>
            </w:r>
          </w:p>
        </w:tc>
      </w:tr>
      <w:tr w14:paraId="6A3F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43B4EA4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1783" w:type="dxa"/>
            <w:noWrap w:val="0"/>
            <w:vAlign w:val="center"/>
          </w:tcPr>
          <w:p w14:paraId="5447BE6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单兵帐篷</w:t>
            </w:r>
          </w:p>
        </w:tc>
        <w:tc>
          <w:tcPr>
            <w:tcW w:w="692" w:type="dxa"/>
            <w:noWrap w:val="0"/>
            <w:vAlign w:val="center"/>
          </w:tcPr>
          <w:p w14:paraId="40BAC92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10顶</w:t>
            </w:r>
          </w:p>
        </w:tc>
        <w:tc>
          <w:tcPr>
            <w:tcW w:w="1950" w:type="dxa"/>
            <w:noWrap w:val="0"/>
            <w:vAlign w:val="center"/>
          </w:tcPr>
          <w:p w14:paraId="61FF24E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529B1B9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2E89247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463E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1ECC8CE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1783" w:type="dxa"/>
            <w:noWrap w:val="0"/>
            <w:vAlign w:val="center"/>
          </w:tcPr>
          <w:p w14:paraId="0EB4B90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救援交通设备</w:t>
            </w:r>
          </w:p>
        </w:tc>
        <w:tc>
          <w:tcPr>
            <w:tcW w:w="692" w:type="dxa"/>
            <w:noWrap w:val="0"/>
            <w:vAlign w:val="center"/>
          </w:tcPr>
          <w:p w14:paraId="7C9804A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3量</w:t>
            </w:r>
          </w:p>
        </w:tc>
        <w:tc>
          <w:tcPr>
            <w:tcW w:w="1950" w:type="dxa"/>
            <w:noWrap w:val="0"/>
            <w:vAlign w:val="center"/>
          </w:tcPr>
          <w:p w14:paraId="011037B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07443B0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李春</w:t>
            </w:r>
          </w:p>
        </w:tc>
        <w:tc>
          <w:tcPr>
            <w:tcW w:w="1737" w:type="dxa"/>
            <w:noWrap w:val="0"/>
            <w:vAlign w:val="center"/>
          </w:tcPr>
          <w:p w14:paraId="1E9DBC8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17830515678</w:t>
            </w:r>
          </w:p>
        </w:tc>
      </w:tr>
      <w:tr w14:paraId="6981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0E70466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1783" w:type="dxa"/>
            <w:noWrap w:val="0"/>
            <w:vAlign w:val="center"/>
          </w:tcPr>
          <w:p w14:paraId="73057E1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电筒</w:t>
            </w:r>
          </w:p>
        </w:tc>
        <w:tc>
          <w:tcPr>
            <w:tcW w:w="692" w:type="dxa"/>
            <w:noWrap w:val="0"/>
            <w:vAlign w:val="center"/>
          </w:tcPr>
          <w:p w14:paraId="77B6F64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32个</w:t>
            </w:r>
          </w:p>
        </w:tc>
        <w:tc>
          <w:tcPr>
            <w:tcW w:w="1950" w:type="dxa"/>
            <w:noWrap w:val="0"/>
            <w:vAlign w:val="center"/>
          </w:tcPr>
          <w:p w14:paraId="4542856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073B4FE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70BF885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69FB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35D217A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783" w:type="dxa"/>
            <w:noWrap w:val="0"/>
            <w:vAlign w:val="center"/>
          </w:tcPr>
          <w:p w14:paraId="4FF0EE9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扩音器</w:t>
            </w:r>
          </w:p>
        </w:tc>
        <w:tc>
          <w:tcPr>
            <w:tcW w:w="692" w:type="dxa"/>
            <w:noWrap w:val="0"/>
            <w:vAlign w:val="center"/>
          </w:tcPr>
          <w:p w14:paraId="4C32933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8个</w:t>
            </w:r>
          </w:p>
        </w:tc>
        <w:tc>
          <w:tcPr>
            <w:tcW w:w="1950" w:type="dxa"/>
            <w:noWrap w:val="0"/>
            <w:vAlign w:val="center"/>
          </w:tcPr>
          <w:p w14:paraId="6884975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1AA34A2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16BA546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511F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09993D5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783" w:type="dxa"/>
            <w:noWrap w:val="0"/>
            <w:vAlign w:val="center"/>
          </w:tcPr>
          <w:p w14:paraId="300485A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安全绳</w:t>
            </w:r>
          </w:p>
        </w:tc>
        <w:tc>
          <w:tcPr>
            <w:tcW w:w="692" w:type="dxa"/>
            <w:noWrap w:val="0"/>
            <w:vAlign w:val="center"/>
          </w:tcPr>
          <w:p w14:paraId="4B3E6E9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9根</w:t>
            </w:r>
          </w:p>
        </w:tc>
        <w:tc>
          <w:tcPr>
            <w:tcW w:w="1950" w:type="dxa"/>
            <w:noWrap w:val="0"/>
            <w:vAlign w:val="center"/>
          </w:tcPr>
          <w:p w14:paraId="42FF438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2605641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701365C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4681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2FEA4CF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783" w:type="dxa"/>
            <w:noWrap w:val="0"/>
            <w:vAlign w:val="center"/>
          </w:tcPr>
          <w:p w14:paraId="0003DEB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消防腰带</w:t>
            </w:r>
          </w:p>
        </w:tc>
        <w:tc>
          <w:tcPr>
            <w:tcW w:w="692" w:type="dxa"/>
            <w:noWrap w:val="0"/>
            <w:vAlign w:val="center"/>
          </w:tcPr>
          <w:p w14:paraId="28BD845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81根</w:t>
            </w:r>
          </w:p>
        </w:tc>
        <w:tc>
          <w:tcPr>
            <w:tcW w:w="1950" w:type="dxa"/>
            <w:noWrap w:val="0"/>
            <w:vAlign w:val="center"/>
          </w:tcPr>
          <w:p w14:paraId="6E4AD9D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62BD221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6A16722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58FE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17E61EF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1783" w:type="dxa"/>
            <w:noWrap w:val="0"/>
            <w:vAlign w:val="center"/>
          </w:tcPr>
          <w:p w14:paraId="37A98BC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消防手套</w:t>
            </w:r>
          </w:p>
        </w:tc>
        <w:tc>
          <w:tcPr>
            <w:tcW w:w="692" w:type="dxa"/>
            <w:noWrap w:val="0"/>
            <w:vAlign w:val="center"/>
          </w:tcPr>
          <w:p w14:paraId="5C77DE0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80双</w:t>
            </w:r>
          </w:p>
        </w:tc>
        <w:tc>
          <w:tcPr>
            <w:tcW w:w="1950" w:type="dxa"/>
            <w:noWrap w:val="0"/>
            <w:vAlign w:val="center"/>
          </w:tcPr>
          <w:p w14:paraId="74AD934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4E23554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2C56000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3553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1C0161E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783" w:type="dxa"/>
            <w:noWrap w:val="0"/>
            <w:vAlign w:val="center"/>
          </w:tcPr>
          <w:p w14:paraId="0194B3A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消防服</w:t>
            </w:r>
          </w:p>
        </w:tc>
        <w:tc>
          <w:tcPr>
            <w:tcW w:w="692" w:type="dxa"/>
            <w:noWrap w:val="0"/>
            <w:vAlign w:val="center"/>
          </w:tcPr>
          <w:p w14:paraId="7DB8244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26套</w:t>
            </w:r>
          </w:p>
        </w:tc>
        <w:tc>
          <w:tcPr>
            <w:tcW w:w="1950" w:type="dxa"/>
            <w:noWrap w:val="0"/>
            <w:vAlign w:val="center"/>
          </w:tcPr>
          <w:p w14:paraId="3C73343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5E39677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6A2D240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0B3E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1C23BE6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1783" w:type="dxa"/>
            <w:noWrap w:val="0"/>
            <w:vAlign w:val="center"/>
          </w:tcPr>
          <w:p w14:paraId="2F0E67E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编制袋</w:t>
            </w:r>
          </w:p>
        </w:tc>
        <w:tc>
          <w:tcPr>
            <w:tcW w:w="692" w:type="dxa"/>
            <w:noWrap w:val="0"/>
            <w:vAlign w:val="center"/>
          </w:tcPr>
          <w:p w14:paraId="7924C23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675个</w:t>
            </w:r>
          </w:p>
        </w:tc>
        <w:tc>
          <w:tcPr>
            <w:tcW w:w="1950" w:type="dxa"/>
            <w:noWrap w:val="0"/>
            <w:vAlign w:val="center"/>
          </w:tcPr>
          <w:p w14:paraId="1C39D6C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065B3F7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7F6B9A8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2F17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093D46B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1783" w:type="dxa"/>
            <w:noWrap w:val="0"/>
            <w:vAlign w:val="center"/>
          </w:tcPr>
          <w:p w14:paraId="27C7380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消防水鞋</w:t>
            </w:r>
          </w:p>
        </w:tc>
        <w:tc>
          <w:tcPr>
            <w:tcW w:w="692" w:type="dxa"/>
            <w:noWrap w:val="0"/>
            <w:vAlign w:val="center"/>
          </w:tcPr>
          <w:p w14:paraId="3C159B8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30双</w:t>
            </w:r>
          </w:p>
        </w:tc>
        <w:tc>
          <w:tcPr>
            <w:tcW w:w="1950" w:type="dxa"/>
            <w:noWrap w:val="0"/>
            <w:vAlign w:val="center"/>
          </w:tcPr>
          <w:p w14:paraId="479B488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61E9BEC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647ED5B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3CB0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261068B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1783" w:type="dxa"/>
            <w:noWrap w:val="0"/>
            <w:vAlign w:val="center"/>
          </w:tcPr>
          <w:p w14:paraId="3DB77AF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消防头盔</w:t>
            </w:r>
          </w:p>
        </w:tc>
        <w:tc>
          <w:tcPr>
            <w:tcW w:w="692" w:type="dxa"/>
            <w:noWrap w:val="0"/>
            <w:vAlign w:val="center"/>
          </w:tcPr>
          <w:p w14:paraId="520006B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30顶</w:t>
            </w:r>
          </w:p>
        </w:tc>
        <w:tc>
          <w:tcPr>
            <w:tcW w:w="1950" w:type="dxa"/>
            <w:noWrap w:val="0"/>
            <w:vAlign w:val="center"/>
          </w:tcPr>
          <w:p w14:paraId="33CB7CB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1A641FC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118997E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3567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4D1E94D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1783" w:type="dxa"/>
            <w:noWrap w:val="0"/>
            <w:vAlign w:val="center"/>
          </w:tcPr>
          <w:p w14:paraId="477AD85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救生圈</w:t>
            </w:r>
          </w:p>
        </w:tc>
        <w:tc>
          <w:tcPr>
            <w:tcW w:w="692" w:type="dxa"/>
            <w:noWrap w:val="0"/>
            <w:vAlign w:val="center"/>
          </w:tcPr>
          <w:p w14:paraId="6FD81F4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15个</w:t>
            </w:r>
          </w:p>
        </w:tc>
        <w:tc>
          <w:tcPr>
            <w:tcW w:w="1950" w:type="dxa"/>
            <w:noWrap w:val="0"/>
            <w:vAlign w:val="center"/>
          </w:tcPr>
          <w:p w14:paraId="2153BA9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6D11B40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0E58149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10BB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385292E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w:t>
            </w:r>
          </w:p>
        </w:tc>
        <w:tc>
          <w:tcPr>
            <w:tcW w:w="1783" w:type="dxa"/>
            <w:noWrap w:val="0"/>
            <w:vAlign w:val="center"/>
          </w:tcPr>
          <w:p w14:paraId="244DA4F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铁锹</w:t>
            </w:r>
          </w:p>
        </w:tc>
        <w:tc>
          <w:tcPr>
            <w:tcW w:w="692" w:type="dxa"/>
            <w:noWrap w:val="0"/>
            <w:vAlign w:val="center"/>
          </w:tcPr>
          <w:p w14:paraId="742479C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20把</w:t>
            </w:r>
          </w:p>
        </w:tc>
        <w:tc>
          <w:tcPr>
            <w:tcW w:w="1950" w:type="dxa"/>
            <w:noWrap w:val="0"/>
            <w:vAlign w:val="center"/>
          </w:tcPr>
          <w:p w14:paraId="67FB0B8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6E10BB1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0F2267D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46A4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6" w:type="dxa"/>
            <w:noWrap w:val="0"/>
            <w:vAlign w:val="center"/>
          </w:tcPr>
          <w:p w14:paraId="0EBA273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w:t>
            </w:r>
          </w:p>
        </w:tc>
        <w:tc>
          <w:tcPr>
            <w:tcW w:w="1783" w:type="dxa"/>
            <w:noWrap w:val="0"/>
            <w:vAlign w:val="center"/>
          </w:tcPr>
          <w:p w14:paraId="309117A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照明头盔</w:t>
            </w:r>
          </w:p>
        </w:tc>
        <w:tc>
          <w:tcPr>
            <w:tcW w:w="692" w:type="dxa"/>
            <w:noWrap w:val="0"/>
            <w:vAlign w:val="center"/>
          </w:tcPr>
          <w:p w14:paraId="250CA0B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63顶</w:t>
            </w:r>
          </w:p>
        </w:tc>
        <w:tc>
          <w:tcPr>
            <w:tcW w:w="1950" w:type="dxa"/>
            <w:noWrap w:val="0"/>
            <w:vAlign w:val="center"/>
          </w:tcPr>
          <w:p w14:paraId="5E23756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44" w:type="dxa"/>
            <w:noWrap w:val="0"/>
            <w:vAlign w:val="center"/>
          </w:tcPr>
          <w:p w14:paraId="3F6954C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1737" w:type="dxa"/>
            <w:noWrap w:val="0"/>
            <w:vAlign w:val="center"/>
          </w:tcPr>
          <w:p w14:paraId="494AE11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57C8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54E840B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w:t>
            </w:r>
          </w:p>
        </w:tc>
        <w:tc>
          <w:tcPr>
            <w:tcW w:w="0" w:type="auto"/>
            <w:noWrap w:val="0"/>
            <w:vAlign w:val="center"/>
          </w:tcPr>
          <w:p w14:paraId="14E18A5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皮筏艇</w:t>
            </w:r>
          </w:p>
        </w:tc>
        <w:tc>
          <w:tcPr>
            <w:tcW w:w="0" w:type="auto"/>
            <w:noWrap w:val="0"/>
            <w:vAlign w:val="center"/>
          </w:tcPr>
          <w:p w14:paraId="506D597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2个</w:t>
            </w:r>
          </w:p>
        </w:tc>
        <w:tc>
          <w:tcPr>
            <w:tcW w:w="0" w:type="auto"/>
            <w:noWrap w:val="0"/>
            <w:vAlign w:val="center"/>
          </w:tcPr>
          <w:p w14:paraId="3E783BD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0" w:type="auto"/>
            <w:noWrap w:val="0"/>
            <w:vAlign w:val="center"/>
          </w:tcPr>
          <w:p w14:paraId="2E84D27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0" w:type="auto"/>
            <w:noWrap w:val="0"/>
            <w:vAlign w:val="center"/>
          </w:tcPr>
          <w:p w14:paraId="7637D8D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67E2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15A0949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w:t>
            </w:r>
          </w:p>
        </w:tc>
        <w:tc>
          <w:tcPr>
            <w:tcW w:w="0" w:type="auto"/>
            <w:noWrap w:val="0"/>
            <w:vAlign w:val="center"/>
          </w:tcPr>
          <w:p w14:paraId="5E1E1FC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对讲机</w:t>
            </w:r>
          </w:p>
        </w:tc>
        <w:tc>
          <w:tcPr>
            <w:tcW w:w="0" w:type="auto"/>
            <w:noWrap w:val="0"/>
            <w:vAlign w:val="center"/>
          </w:tcPr>
          <w:p w14:paraId="2FF6226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15个</w:t>
            </w:r>
          </w:p>
        </w:tc>
        <w:tc>
          <w:tcPr>
            <w:tcW w:w="0" w:type="auto"/>
            <w:noWrap w:val="0"/>
            <w:vAlign w:val="center"/>
          </w:tcPr>
          <w:p w14:paraId="3528BDB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0" w:type="auto"/>
            <w:noWrap w:val="0"/>
            <w:vAlign w:val="center"/>
          </w:tcPr>
          <w:p w14:paraId="139A2CC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0" w:type="auto"/>
            <w:noWrap w:val="0"/>
            <w:vAlign w:val="center"/>
          </w:tcPr>
          <w:p w14:paraId="1BB9C11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5DE6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4632E44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17</w:t>
            </w:r>
          </w:p>
        </w:tc>
        <w:tc>
          <w:tcPr>
            <w:tcW w:w="0" w:type="auto"/>
            <w:noWrap w:val="0"/>
            <w:vAlign w:val="center"/>
          </w:tcPr>
          <w:p w14:paraId="7A78EF6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雨衣</w:t>
            </w:r>
          </w:p>
        </w:tc>
        <w:tc>
          <w:tcPr>
            <w:tcW w:w="0" w:type="auto"/>
            <w:noWrap w:val="0"/>
            <w:vAlign w:val="center"/>
          </w:tcPr>
          <w:p w14:paraId="758C7F0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29件</w:t>
            </w:r>
          </w:p>
        </w:tc>
        <w:tc>
          <w:tcPr>
            <w:tcW w:w="0" w:type="auto"/>
            <w:noWrap w:val="0"/>
            <w:vAlign w:val="center"/>
          </w:tcPr>
          <w:p w14:paraId="6A1C7FF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0" w:type="auto"/>
            <w:noWrap w:val="0"/>
            <w:vAlign w:val="center"/>
          </w:tcPr>
          <w:p w14:paraId="2F79F10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0" w:type="auto"/>
            <w:noWrap w:val="0"/>
            <w:vAlign w:val="center"/>
          </w:tcPr>
          <w:p w14:paraId="1535B0E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r w14:paraId="0D40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7647CC2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18</w:t>
            </w:r>
          </w:p>
        </w:tc>
        <w:tc>
          <w:tcPr>
            <w:tcW w:w="0" w:type="auto"/>
            <w:noWrap w:val="0"/>
            <w:vAlign w:val="center"/>
          </w:tcPr>
          <w:p w14:paraId="6DAC135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橡胶棍</w:t>
            </w:r>
          </w:p>
        </w:tc>
        <w:tc>
          <w:tcPr>
            <w:tcW w:w="0" w:type="auto"/>
            <w:noWrap w:val="0"/>
            <w:vAlign w:val="center"/>
          </w:tcPr>
          <w:p w14:paraId="29B476A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57根</w:t>
            </w:r>
          </w:p>
        </w:tc>
        <w:tc>
          <w:tcPr>
            <w:tcW w:w="0" w:type="auto"/>
            <w:noWrap w:val="0"/>
            <w:vAlign w:val="center"/>
          </w:tcPr>
          <w:p w14:paraId="3D44B8A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0" w:type="auto"/>
            <w:noWrap w:val="0"/>
            <w:vAlign w:val="center"/>
          </w:tcPr>
          <w:p w14:paraId="52A8784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彭国梁</w:t>
            </w:r>
          </w:p>
        </w:tc>
        <w:tc>
          <w:tcPr>
            <w:tcW w:w="0" w:type="auto"/>
            <w:noWrap w:val="0"/>
            <w:vAlign w:val="center"/>
          </w:tcPr>
          <w:p w14:paraId="0FCA732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13635377779</w:t>
            </w:r>
          </w:p>
        </w:tc>
      </w:tr>
    </w:tbl>
    <w:p w14:paraId="54DB2C88">
      <w:pPr>
        <w:rPr>
          <w:rFonts w:hint="eastAsia" w:ascii="宋体" w:hAnsi="宋体" w:eastAsia="宋体" w:cs="宋体"/>
          <w:color w:val="FF0000"/>
          <w:sz w:val="24"/>
          <w:szCs w:val="24"/>
        </w:rPr>
      </w:pPr>
    </w:p>
    <w:p w14:paraId="3D52C4B7">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FF0000"/>
          <w:sz w:val="21"/>
          <w:szCs w:val="21"/>
        </w:rPr>
        <w:br w:type="page"/>
      </w:r>
      <w:bookmarkStart w:id="152" w:name="_Toc11918"/>
      <w:bookmarkStart w:id="153" w:name="_Toc1573"/>
      <w:r>
        <w:rPr>
          <w:rFonts w:hint="eastAsia" w:ascii="宋体" w:hAnsi="宋体" w:eastAsia="宋体" w:cs="宋体"/>
          <w:color w:val="auto"/>
          <w:sz w:val="28"/>
          <w:szCs w:val="28"/>
          <w:lang w:val="en-US" w:eastAsia="zh-CN"/>
        </w:rPr>
        <w:t>附件3：开州区应急物资储备情况</w:t>
      </w:r>
      <w:bookmarkEnd w:id="152"/>
      <w:bookmarkEnd w:id="153"/>
    </w:p>
    <w:p w14:paraId="2E0CF60D">
      <w:pPr>
        <w:spacing w:line="360" w:lineRule="auto"/>
        <w:jc w:val="center"/>
        <w:rPr>
          <w:rFonts w:hint="eastAsia"/>
          <w:color w:val="auto"/>
          <w:sz w:val="24"/>
        </w:rPr>
      </w:pPr>
      <w:r>
        <w:rPr>
          <w:b/>
          <w:color w:val="auto"/>
          <w:sz w:val="24"/>
        </w:rPr>
        <w:t xml:space="preserve">  </w:t>
      </w:r>
      <w:r>
        <w:rPr>
          <w:rFonts w:hint="eastAsia" w:hAnsi="宋体"/>
          <w:b/>
          <w:color w:val="auto"/>
          <w:sz w:val="24"/>
        </w:rPr>
        <w:t>开州区生态环境局应急物资储备情况</w:t>
      </w:r>
    </w:p>
    <w:tbl>
      <w:tblPr>
        <w:tblStyle w:val="14"/>
        <w:tblW w:w="0" w:type="auto"/>
        <w:tblInd w:w="0" w:type="dxa"/>
        <w:tblLayout w:type="fixed"/>
        <w:tblCellMar>
          <w:top w:w="0" w:type="dxa"/>
          <w:left w:w="0" w:type="dxa"/>
          <w:bottom w:w="0" w:type="dxa"/>
          <w:right w:w="0" w:type="dxa"/>
        </w:tblCellMar>
      </w:tblPr>
      <w:tblGrid>
        <w:gridCol w:w="339"/>
        <w:gridCol w:w="1599"/>
        <w:gridCol w:w="1519"/>
        <w:gridCol w:w="1223"/>
        <w:gridCol w:w="503"/>
        <w:gridCol w:w="478"/>
        <w:gridCol w:w="886"/>
        <w:gridCol w:w="853"/>
        <w:gridCol w:w="930"/>
      </w:tblGrid>
      <w:tr w14:paraId="4910CD3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539A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序号</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127E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产品名称</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9EF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物资类别</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4EA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规格型号</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FCC7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数量</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1FA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单位</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9B1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存放地点</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7A5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使用状况</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A7BD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管理部门</w:t>
            </w:r>
          </w:p>
        </w:tc>
      </w:tr>
      <w:tr w14:paraId="7856664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1F8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BA0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GPS定位仪</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E35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7F9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G120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F287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E85C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42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CFE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18E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419FCE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496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2F7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激光测距望远镜</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E8AC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D65D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1400A</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D42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258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D56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D50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4FBD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31663C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317B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2C2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DB6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2672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GP328</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4F1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0233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对</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8171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643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C2E2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69D9CB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2F7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49F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应急录音设备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A85D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C7F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5505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66D7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E80B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A38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6C55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5914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663168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5601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37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应急现场工作服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4A8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59F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RD96-T</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B09C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409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0700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5C4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173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0D5E60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3243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90E6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液体化学防护服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15E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62C0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FH-2NP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4038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9AE9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DF08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CF2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599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7E83AD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2E76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9A9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气体化学防护服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3DC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5A65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FH-3NP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C688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9FB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90F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15D0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7E69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AD9102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CFA4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5C4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易燃易爆气体报警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53C7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B052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SLT-606</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0C9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DC2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0C9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98FD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FBE9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0FA1BF4">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3B97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534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有毒有害气体报警装置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0F3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507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73D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343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0D6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97E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95A0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DA4AE3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58F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672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辐射报警装置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B41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1215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E6C3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3D4A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2AE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1A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0C2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C1A9BE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F91E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2C9D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医用急救箱</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DFE4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B954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18村铝合金</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9A0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0B7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65E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45E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E06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014FC7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A394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F42D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应急供电、照明设备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BFF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206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MT1000S</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F987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069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697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2A6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024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0594BD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DA5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4DC3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睡袋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6BE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23B4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CM-040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91C0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09C5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505F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34E5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208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077877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A73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DE06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帐篷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322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0367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CS070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B9C3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669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6750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CE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8830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105D99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703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C3A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执法记录仪</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C8E99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16E31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DSJ-A3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8B8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0EB1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9B2B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BF8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164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32BB43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3BD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16</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46512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台式电脑</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C34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17C72">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E28FF7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A6F5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47CB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47A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ACA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6B59C6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DD5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17</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DFCA7E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应急车辆及辅助设备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6352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FF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本田</w:t>
            </w: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506D6C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F113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辆</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82C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E95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46E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2FAE41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BB0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18</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0D8F5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固定电话</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F3C6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B9666">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8B896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CD2F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部</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E46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1230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6D46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627A4F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4971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19</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84BAC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7A26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0186A">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0185C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9BC2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EB2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973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B60B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645ACC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5A6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ED4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传真机</w:t>
            </w:r>
          </w:p>
        </w:tc>
        <w:tc>
          <w:tcPr>
            <w:tcW w:w="151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4CF176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D641481">
            <w:pPr>
              <w:jc w:val="center"/>
              <w:rPr>
                <w:rFonts w:hint="eastAsia" w:ascii="宋体" w:hAnsi="宋体" w:cs="宋体"/>
                <w:color w:val="auto"/>
                <w:sz w:val="18"/>
                <w:szCs w:val="18"/>
              </w:rPr>
            </w:pP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305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618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F9C4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1C4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3E8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DA81E3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AE3FF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21</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5B1138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摄像机</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29BF1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FBB3A5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佳能</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ABA78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DBD79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BC1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C45D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CB0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27E685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D7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07BE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防爆摄像机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5022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593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Exdv1301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AF8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2DB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03F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B59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ED6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B2528A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DC8D0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26C9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防爆照相机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F66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21D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Excam1201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BD1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B2C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AB4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5AB4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052F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702F6C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85A8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DA74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371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D429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PT7200 Ex</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847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CB5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BC4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27D4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724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B5ACD5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8A739F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6CB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移动便携式打印机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3C3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C31A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Officejet 150 mobile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275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435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DC6A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EA0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B6A1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D661B3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629D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19B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便携式柴油发电机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E5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BAD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KDF4000XE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ADF5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338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8CC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C2E3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0E81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78AF09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9E8B2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067F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防爆抽油泵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8D3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3C4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50CYZ-60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0E8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CD8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036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C9B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676A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EDAB19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B2D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7A1A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水泵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564E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96D7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50WQ20-33-5.5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8CB9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EDA3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5E97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D860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B17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A003EB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D6D6F1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68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D70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12B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PP-1/PP-2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97A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0B3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6838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1A4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8A7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D3CCAD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F2DB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0D5B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D62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D0C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OP002-B</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745A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120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599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C48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530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C96115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2B31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1780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黄色吸油吸液棉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0379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26E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HOP004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BC7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535D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94C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D660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BE3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F94407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0586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BD8D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DB06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FFE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OR004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742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926D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卷</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95F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579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444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A05929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5B764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617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吸油索</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031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0474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OS20*3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DCE9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372C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EA9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9EE7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2DB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910B218">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441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4B0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A9EA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A81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OP002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1CB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D322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025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78C3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D93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D40E12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45E29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262D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PVC围油栏</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05C9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堵漏、收集器材/设备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E82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PVC1500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000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F54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8F53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D8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F60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643F57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554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1977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消防水龙带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B85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4AC5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13-100-25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BFC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846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4F61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53E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F43E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8C41A1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12A73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E28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抽油管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B27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61BF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5C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E559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B2B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50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3DC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D65DAF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9C2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C84E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防护手套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3D9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6E8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辉安工业手套</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7D14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8E38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129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1975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E78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81F786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E00B1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DA69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耐高温手套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2933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E05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LC-S59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4D2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2FB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双</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C99B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1F4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9E53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493880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519B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F946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消油剂</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7152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226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700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44E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A51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694A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49C4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2EAA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27169D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C82FC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3205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化学品</w:t>
            </w:r>
            <w:r>
              <w:rPr>
                <w:rFonts w:hint="eastAsia" w:ascii="宋体" w:hAnsi="宋体" w:cs="宋体"/>
                <w:color w:val="auto"/>
                <w:kern w:val="0"/>
                <w:sz w:val="18"/>
                <w:szCs w:val="18"/>
                <w:lang w:eastAsia="zh-CN" w:bidi="ar"/>
              </w:rPr>
              <w:t>泄漏</w:t>
            </w:r>
            <w:r>
              <w:rPr>
                <w:rFonts w:hint="eastAsia" w:ascii="宋体" w:hAnsi="宋体" w:cs="宋体"/>
                <w:color w:val="auto"/>
                <w:kern w:val="0"/>
                <w:sz w:val="18"/>
                <w:szCs w:val="18"/>
                <w:lang w:bidi="ar"/>
              </w:rPr>
              <w:t>应急包</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73D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AE7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YJB-001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E20E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D65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932F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5F8F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271C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50C648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B743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EC53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编织袋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482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B8F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90X130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674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8283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E70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3A90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6FEC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8812C5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1F2E44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43</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0E6261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铁锹</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C4E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F5F7F4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1626</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295E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189390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AA98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388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8863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EA9F45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A5C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794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十字铁镐</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5F5B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D70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G102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601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3E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75F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43F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B6F1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B3504C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3B5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E47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撬棍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F36E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F97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1200X20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AE7F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D23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C4A0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E496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0198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75A1AD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6156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E14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安全带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932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741B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YH-7009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804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39A0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E8E4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5D0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1A5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B166F0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7FE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A454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防毒面罩</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8E5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00C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6200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6F7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DDF6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10A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EC5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C14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bl>
    <w:p w14:paraId="4301E0CD">
      <w:pPr>
        <w:pStyle w:val="11"/>
        <w:ind w:firstLine="482"/>
        <w:rPr>
          <w:color w:val="auto"/>
          <w:sz w:val="24"/>
          <w:szCs w:val="24"/>
        </w:rPr>
        <w:sectPr>
          <w:pgSz w:w="11906" w:h="16838"/>
          <w:pgMar w:top="1440" w:right="1803" w:bottom="1440" w:left="1803" w:header="851" w:footer="992" w:gutter="0"/>
          <w:pgNumType w:fmt="decimal"/>
          <w:cols w:space="720" w:num="1"/>
          <w:docGrid w:type="lines" w:linePitch="312" w:charSpace="0"/>
        </w:sectPr>
      </w:pPr>
    </w:p>
    <w:p w14:paraId="7A0F162B">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54" w:name="_Toc97730647"/>
      <w:bookmarkStart w:id="155" w:name="_Toc5725"/>
      <w:bookmarkStart w:id="156" w:name="_Toc5208"/>
      <w:bookmarkStart w:id="157" w:name="_Toc32125"/>
      <w:bookmarkStart w:id="158" w:name="_Toc30059"/>
      <w:r>
        <w:rPr>
          <w:rFonts w:hint="eastAsia" w:ascii="宋体" w:hAnsi="宋体" w:eastAsia="宋体" w:cs="宋体"/>
          <w:color w:val="auto"/>
          <w:sz w:val="28"/>
          <w:szCs w:val="28"/>
          <w:lang w:val="en-US" w:eastAsia="zh-CN"/>
        </w:rPr>
        <w:t>附图1  开州区行政区划图</w:t>
      </w:r>
      <w:bookmarkEnd w:id="154"/>
      <w:bookmarkEnd w:id="155"/>
      <w:bookmarkEnd w:id="156"/>
      <w:bookmarkEnd w:id="157"/>
    </w:p>
    <w:p w14:paraId="4FBFEBAF">
      <w:pPr>
        <w:rPr>
          <w:rFonts w:hint="eastAsia"/>
          <w:color w:val="auto"/>
        </w:rPr>
        <w:sectPr>
          <w:footerReference r:id="rId8" w:type="default"/>
          <w:pgSz w:w="11906" w:h="16838"/>
          <w:pgMar w:top="1440" w:right="1133" w:bottom="1440" w:left="1803" w:header="851" w:footer="992" w:gutter="0"/>
          <w:cols w:space="720" w:num="1"/>
          <w:docGrid w:type="lines" w:linePitch="312" w:charSpace="0"/>
        </w:sectPr>
      </w:pPr>
      <w:r>
        <w:rPr>
          <w:color w:val="auto"/>
        </w:rPr>
        <mc:AlternateContent>
          <mc:Choice Requires="wps">
            <w:drawing>
              <wp:anchor distT="0" distB="0" distL="114300" distR="114300" simplePos="0" relativeHeight="251669504" behindDoc="0" locked="0" layoutInCell="1" allowOverlap="1">
                <wp:simplePos x="0" y="0"/>
                <wp:positionH relativeFrom="column">
                  <wp:posOffset>3048000</wp:posOffset>
                </wp:positionH>
                <wp:positionV relativeFrom="paragraph">
                  <wp:posOffset>2415540</wp:posOffset>
                </wp:positionV>
                <wp:extent cx="216535" cy="206375"/>
                <wp:effectExtent l="24130" t="26035" r="26035" b="34290"/>
                <wp:wrapNone/>
                <wp:docPr id="17" name="五角星 17"/>
                <wp:cNvGraphicFramePr/>
                <a:graphic xmlns:a="http://schemas.openxmlformats.org/drawingml/2006/main">
                  <a:graphicData uri="http://schemas.microsoft.com/office/word/2010/wordprocessingShape">
                    <wps:wsp>
                      <wps:cNvSpPr/>
                      <wps:spPr>
                        <a:xfrm>
                          <a:off x="0" y="0"/>
                          <a:ext cx="216535" cy="206375"/>
                        </a:xfrm>
                        <a:prstGeom prst="star5">
                          <a:avLst/>
                        </a:prstGeom>
                        <a:solidFill>
                          <a:srgbClr val="FF0000"/>
                        </a:solidFill>
                        <a:ln w="15875" cap="flat" cmpd="sng">
                          <a:solidFill>
                            <a:srgbClr val="FF0000"/>
                          </a:solidFill>
                          <a:prstDash val="solid"/>
                          <a:miter/>
                          <a:headEnd type="none" w="med" len="med"/>
                          <a:tailEnd type="none" w="med" len="med"/>
                        </a:ln>
                      </wps:spPr>
                      <wps:txbx>
                        <w:txbxContent>
                          <w:p w14:paraId="7E85867A"/>
                        </w:txbxContent>
                      </wps:txbx>
                      <wps:bodyPr upright="1"/>
                    </wps:wsp>
                  </a:graphicData>
                </a:graphic>
              </wp:anchor>
            </w:drawing>
          </mc:Choice>
          <mc:Fallback>
            <w:pict>
              <v:shape id="_x0000_s1026" o:spid="_x0000_s1026" style="position:absolute;left:0pt;margin-left:240pt;margin-top:190.2pt;height:16.25pt;width:17.05pt;z-index:251669504;mso-width-relative:page;mso-height-relative:page;" fillcolor="#FF0000" filled="t" stroked="t" coordsize="216535,206375" o:gfxdata="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kqFQtsAAAALAQAADwAAAAAAAAABACAAAAAi&#10;AAAAZHJzL2Rvd25yZXYueG1sUEsBAhQAFAAAAAgAh07iQBxJBcwHAgAALwQAAA4AAAAAAAAAAQAg&#10;AAAAKgEAAGRycy9lMm9Eb2MueG1sUEsFBgAAAAAGAAYAWQEAAKMFAAAAAA==&#10;" path="m0,78828l82709,78828,108267,0,133825,78828,216534,78828,149621,127546,175180,206374,108267,157655,41354,206374,66913,127546xe">
                <v:path textboxrect="0,0,216535,206375" o:connectlocs="108267,0;0,78828;41354,206374;175180,206374;216534,78828" o:connectangles="247,164,82,82,0"/>
                <v:fill on="t" focussize="0,0"/>
                <v:stroke weight="1.25pt" color="#FF0000" joinstyle="miter"/>
                <v:imagedata o:title=""/>
                <o:lock v:ext="edit" aspectratio="f"/>
                <v:textbox>
                  <w:txbxContent>
                    <w:p w14:paraId="7E85867A"/>
                  </w:txbxContent>
                </v:textbox>
              </v:shape>
            </w:pict>
          </mc:Fallback>
        </mc:AlternateContent>
      </w:r>
      <w:r>
        <w:rPr>
          <w:rFonts w:hint="eastAsia"/>
          <w:color w:val="auto"/>
        </w:rPr>
        <w:drawing>
          <wp:inline distT="0" distB="0" distL="114300" distR="114300">
            <wp:extent cx="5256530" cy="6506210"/>
            <wp:effectExtent l="0" t="0" r="1270" b="8890"/>
            <wp:docPr id="13" name="图片 1" descr="201912220838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019122208385770"/>
                    <pic:cNvPicPr>
                      <a:picLocks noChangeAspect="1"/>
                    </pic:cNvPicPr>
                  </pic:nvPicPr>
                  <pic:blipFill>
                    <a:blip r:embed="rId17"/>
                    <a:stretch>
                      <a:fillRect/>
                    </a:stretch>
                  </pic:blipFill>
                  <pic:spPr>
                    <a:xfrm>
                      <a:off x="0" y="0"/>
                      <a:ext cx="5256530" cy="6506210"/>
                    </a:xfrm>
                    <a:prstGeom prst="rect">
                      <a:avLst/>
                    </a:prstGeom>
                    <a:noFill/>
                    <a:ln>
                      <a:noFill/>
                    </a:ln>
                  </pic:spPr>
                </pic:pic>
              </a:graphicData>
            </a:graphic>
          </wp:inline>
        </w:drawing>
      </w:r>
      <w:bookmarkEnd w:id="158"/>
    </w:p>
    <w:p w14:paraId="101E5585">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59" w:name="_Toc30122"/>
      <w:bookmarkStart w:id="160" w:name="_Toc7337"/>
      <w:bookmarkStart w:id="161" w:name="_Toc97730648"/>
      <w:bookmarkStart w:id="162" w:name="_Toc24362"/>
      <w:bookmarkStart w:id="163" w:name="_Toc6122"/>
      <w:r>
        <w:rPr>
          <w:rFonts w:hint="eastAsia" w:ascii="宋体" w:hAnsi="宋体" w:eastAsia="宋体" w:cs="宋体"/>
          <w:color w:val="auto"/>
          <w:sz w:val="28"/>
          <w:szCs w:val="28"/>
          <w:lang w:val="en-US" w:eastAsia="zh-CN"/>
        </w:rPr>
        <w:t>附图2  开州区水系图</w:t>
      </w:r>
      <w:bookmarkEnd w:id="159"/>
      <w:bookmarkEnd w:id="160"/>
      <w:bookmarkEnd w:id="161"/>
      <w:bookmarkEnd w:id="162"/>
    </w:p>
    <w:p w14:paraId="773F5B61">
      <w:pPr>
        <w:rPr>
          <w:rFonts w:hint="eastAsia"/>
          <w:color w:val="auto"/>
        </w:rPr>
        <w:sectPr>
          <w:pgSz w:w="11906" w:h="16838"/>
          <w:pgMar w:top="1440" w:right="1803" w:bottom="1440" w:left="1803" w:header="851" w:footer="992" w:gutter="0"/>
          <w:cols w:space="720" w:num="1"/>
          <w:docGrid w:type="lines" w:linePitch="312" w:charSpace="0"/>
        </w:sectPr>
      </w:pPr>
      <w:r>
        <w:rPr>
          <w:rFonts w:hint="eastAsia"/>
          <w:color w:val="auto"/>
        </w:rPr>
        <w:drawing>
          <wp:inline distT="0" distB="0" distL="114300" distR="114300">
            <wp:extent cx="5256530" cy="6506210"/>
            <wp:effectExtent l="0" t="0" r="1270" b="8890"/>
            <wp:docPr id="14" name="图片 2" descr="20191222083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019122208393394"/>
                    <pic:cNvPicPr>
                      <a:picLocks noChangeAspect="1"/>
                    </pic:cNvPicPr>
                  </pic:nvPicPr>
                  <pic:blipFill>
                    <a:blip r:embed="rId18"/>
                    <a:stretch>
                      <a:fillRect/>
                    </a:stretch>
                  </pic:blipFill>
                  <pic:spPr>
                    <a:xfrm>
                      <a:off x="0" y="0"/>
                      <a:ext cx="5256530" cy="6506210"/>
                    </a:xfrm>
                    <a:prstGeom prst="rect">
                      <a:avLst/>
                    </a:prstGeom>
                    <a:noFill/>
                    <a:ln>
                      <a:noFill/>
                    </a:ln>
                  </pic:spPr>
                </pic:pic>
              </a:graphicData>
            </a:graphic>
          </wp:inline>
        </w:drawing>
      </w:r>
      <w:bookmarkEnd w:id="163"/>
    </w:p>
    <w:p w14:paraId="12146586">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64" w:name="_Toc11475"/>
      <w:bookmarkStart w:id="165" w:name="_Toc11769"/>
      <w:bookmarkStart w:id="166" w:name="_Toc4381"/>
      <w:bookmarkStart w:id="167" w:name="_Toc30750"/>
      <w:bookmarkStart w:id="168" w:name="_Toc97730649"/>
      <w:r>
        <w:rPr>
          <w:rFonts w:hint="eastAsia" w:ascii="宋体" w:hAnsi="宋体" w:eastAsia="宋体" w:cs="宋体"/>
          <w:color w:val="auto"/>
          <w:sz w:val="28"/>
          <w:szCs w:val="28"/>
          <w:lang w:val="en-US" w:eastAsia="zh-CN"/>
        </w:rPr>
        <w:t>附图3-1  开州区温泉镇东河温泉供水站水源地地理位置图</w:t>
      </w:r>
      <w:bookmarkEnd w:id="164"/>
      <w:bookmarkEnd w:id="165"/>
      <w:bookmarkEnd w:id="166"/>
      <w:bookmarkEnd w:id="167"/>
      <w:bookmarkEnd w:id="168"/>
    </w:p>
    <w:p w14:paraId="54EBDCF4">
      <w:pPr>
        <w:jc w:val="center"/>
        <w:rPr>
          <w:rFonts w:hint="eastAsia"/>
          <w:color w:val="auto"/>
        </w:rPr>
        <w:sectPr>
          <w:pgSz w:w="11906" w:h="16838"/>
          <w:pgMar w:top="1440" w:right="1803" w:bottom="1440" w:left="1803" w:header="851" w:footer="992" w:gutter="0"/>
          <w:cols w:space="720" w:num="1"/>
          <w:docGrid w:type="lines" w:linePitch="319" w:charSpace="0"/>
        </w:sectPr>
      </w:pPr>
      <w:r>
        <w:rPr>
          <w:color w:val="auto"/>
        </w:rPr>
        <w:drawing>
          <wp:inline distT="0" distB="0" distL="114300" distR="114300">
            <wp:extent cx="5657850" cy="7980680"/>
            <wp:effectExtent l="0" t="0" r="0" b="1270"/>
            <wp:docPr id="15" name="图片 3" descr="191开州区温泉镇东河温泉供水站水源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91开州区温泉镇东河温泉供水站水源地"/>
                    <pic:cNvPicPr>
                      <a:picLocks noChangeAspect="1"/>
                    </pic:cNvPicPr>
                  </pic:nvPicPr>
                  <pic:blipFill>
                    <a:blip r:embed="rId19"/>
                    <a:stretch>
                      <a:fillRect/>
                    </a:stretch>
                  </pic:blipFill>
                  <pic:spPr>
                    <a:xfrm>
                      <a:off x="0" y="0"/>
                      <a:ext cx="5657850" cy="7980680"/>
                    </a:xfrm>
                    <a:prstGeom prst="rect">
                      <a:avLst/>
                    </a:prstGeom>
                    <a:noFill/>
                    <a:ln>
                      <a:noFill/>
                    </a:ln>
                  </pic:spPr>
                </pic:pic>
              </a:graphicData>
            </a:graphic>
          </wp:inline>
        </w:drawing>
      </w:r>
    </w:p>
    <w:p w14:paraId="710D9ABA">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w w:val="90"/>
          <w:sz w:val="28"/>
          <w:szCs w:val="28"/>
          <w:lang w:val="en-US" w:eastAsia="zh-CN"/>
        </w:rPr>
      </w:pPr>
      <w:bookmarkStart w:id="169" w:name="_Toc24310"/>
      <w:bookmarkStart w:id="170" w:name="_Toc97730650"/>
      <w:bookmarkStart w:id="171" w:name="_Toc8343"/>
      <w:r>
        <w:rPr>
          <w:rFonts w:hint="eastAsia" w:ascii="宋体" w:hAnsi="宋体" w:eastAsia="宋体" w:cs="宋体"/>
          <w:b/>
          <w:bCs/>
          <w:color w:val="auto"/>
          <w:w w:val="90"/>
          <w:sz w:val="28"/>
          <w:szCs w:val="28"/>
          <w:lang w:val="en-US" w:eastAsia="zh-CN"/>
        </w:rPr>
        <w:t>附图3-2  开州区温泉镇东河温泉场镇集中供水工程水源地地理位置图</w:t>
      </w:r>
      <w:bookmarkEnd w:id="169"/>
      <w:bookmarkEnd w:id="170"/>
    </w:p>
    <w:p w14:paraId="5F87827E">
      <w:pPr>
        <w:rPr>
          <w:rFonts w:hint="eastAsia"/>
          <w:color w:val="auto"/>
        </w:rPr>
      </w:pPr>
      <w:r>
        <w:rPr>
          <w:color w:val="auto"/>
        </w:rPr>
        <w:drawing>
          <wp:inline distT="0" distB="0" distL="114300" distR="114300">
            <wp:extent cx="5657850" cy="7995920"/>
            <wp:effectExtent l="0" t="0" r="0" b="5080"/>
            <wp:docPr id="16" name="图片 4" descr="192开州区温泉镇东河温泉场镇集中供水工程水源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192开州区温泉镇东河温泉场镇集中供水工程水源地"/>
                    <pic:cNvPicPr>
                      <a:picLocks noChangeAspect="1"/>
                    </pic:cNvPicPr>
                  </pic:nvPicPr>
                  <pic:blipFill>
                    <a:blip r:embed="rId20"/>
                    <a:stretch>
                      <a:fillRect/>
                    </a:stretch>
                  </pic:blipFill>
                  <pic:spPr>
                    <a:xfrm>
                      <a:off x="0" y="0"/>
                      <a:ext cx="5657850" cy="7995920"/>
                    </a:xfrm>
                    <a:prstGeom prst="rect">
                      <a:avLst/>
                    </a:prstGeom>
                    <a:noFill/>
                    <a:ln>
                      <a:noFill/>
                    </a:ln>
                  </pic:spPr>
                </pic:pic>
              </a:graphicData>
            </a:graphic>
          </wp:inline>
        </w:drawing>
      </w:r>
    </w:p>
    <w:p w14:paraId="3678A2B2">
      <w:pPr>
        <w:rPr>
          <w:rFonts w:hint="eastAsia"/>
          <w:color w:val="auto"/>
        </w:rPr>
      </w:pPr>
    </w:p>
    <w:p w14:paraId="2691D6CF">
      <w:pPr>
        <w:rPr>
          <w:rFonts w:hint="eastAsia"/>
          <w:color w:val="auto"/>
        </w:rPr>
      </w:pPr>
    </w:p>
    <w:bookmarkEnd w:id="171"/>
    <w:p w14:paraId="3B9C64AC">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72" w:name="_Toc31621"/>
      <w:bookmarkStart w:id="173" w:name="_Toc97730651"/>
      <w:r>
        <w:rPr>
          <w:rFonts w:hint="eastAsia" w:ascii="宋体" w:hAnsi="宋体" w:eastAsia="宋体" w:cs="宋体"/>
          <w:color w:val="auto"/>
          <w:sz w:val="28"/>
          <w:szCs w:val="28"/>
          <w:lang w:val="en-US" w:eastAsia="zh-CN"/>
        </w:rPr>
        <w:t>附图4-1  开州区温泉镇东河温泉供水站水源地及固定、移动风险源分布图</w:t>
      </w:r>
      <w:bookmarkEnd w:id="172"/>
      <w:bookmarkEnd w:id="173"/>
    </w:p>
    <w:p w14:paraId="4F6ACF74">
      <w:pPr>
        <w:rPr>
          <w:color w:val="auto"/>
        </w:rPr>
      </w:pPr>
      <w:r>
        <w:rPr>
          <w:color w:val="auto"/>
        </w:rPr>
        <w:drawing>
          <wp:anchor distT="0" distB="0" distL="114300" distR="114300" simplePos="0" relativeHeight="251672576" behindDoc="0" locked="0" layoutInCell="1" allowOverlap="1">
            <wp:simplePos x="0" y="0"/>
            <wp:positionH relativeFrom="column">
              <wp:posOffset>-202565</wp:posOffset>
            </wp:positionH>
            <wp:positionV relativeFrom="paragraph">
              <wp:posOffset>105410</wp:posOffset>
            </wp:positionV>
            <wp:extent cx="5806440" cy="2664460"/>
            <wp:effectExtent l="0" t="0" r="3810" b="2540"/>
            <wp:wrapTopAndBottom/>
            <wp:docPr id="18" name="图片 3" descr="温泉供水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温泉供水站"/>
                    <pic:cNvPicPr>
                      <a:picLocks noChangeAspect="1"/>
                    </pic:cNvPicPr>
                  </pic:nvPicPr>
                  <pic:blipFill>
                    <a:blip r:embed="rId21"/>
                    <a:stretch>
                      <a:fillRect/>
                    </a:stretch>
                  </pic:blipFill>
                  <pic:spPr>
                    <a:xfrm>
                      <a:off x="0" y="0"/>
                      <a:ext cx="5806440" cy="2664460"/>
                    </a:xfrm>
                    <a:prstGeom prst="rect">
                      <a:avLst/>
                    </a:prstGeom>
                    <a:noFill/>
                    <a:ln>
                      <a:noFill/>
                    </a:ln>
                  </pic:spPr>
                </pic:pic>
              </a:graphicData>
            </a:graphic>
          </wp:anchor>
        </w:drawing>
      </w:r>
    </w:p>
    <w:p w14:paraId="59C35E8D">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sectPr>
          <w:pgSz w:w="11906" w:h="16838"/>
          <w:pgMar w:top="1440" w:right="1803" w:bottom="1440" w:left="1803" w:header="851" w:footer="992" w:gutter="0"/>
          <w:cols w:space="720" w:num="1"/>
          <w:docGrid w:type="lines" w:linePitch="319" w:charSpace="0"/>
        </w:sectPr>
      </w:pPr>
      <w:bookmarkStart w:id="174" w:name="_Toc8070"/>
      <w:r>
        <w:rPr>
          <w:rFonts w:hint="eastAsia" w:ascii="宋体" w:hAnsi="宋体" w:eastAsia="宋体" w:cs="宋体"/>
          <w:color w:val="auto"/>
          <w:sz w:val="28"/>
          <w:szCs w:val="28"/>
          <w:lang w:val="en-US" w:eastAsia="zh-CN"/>
        </w:rPr>
        <w:drawing>
          <wp:anchor distT="0" distB="0" distL="114300" distR="114300" simplePos="0" relativeHeight="251673600" behindDoc="0" locked="0" layoutInCell="1" allowOverlap="1">
            <wp:simplePos x="0" y="0"/>
            <wp:positionH relativeFrom="column">
              <wp:posOffset>-269240</wp:posOffset>
            </wp:positionH>
            <wp:positionV relativeFrom="paragraph">
              <wp:posOffset>999490</wp:posOffset>
            </wp:positionV>
            <wp:extent cx="5900420" cy="3740785"/>
            <wp:effectExtent l="0" t="0" r="5080" b="12065"/>
            <wp:wrapTopAndBottom/>
            <wp:docPr id="19" name="图片 4" descr="温泉集中供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温泉集中供水工程"/>
                    <pic:cNvPicPr>
                      <a:picLocks noChangeAspect="1"/>
                    </pic:cNvPicPr>
                  </pic:nvPicPr>
                  <pic:blipFill>
                    <a:blip r:embed="rId22"/>
                    <a:stretch>
                      <a:fillRect/>
                    </a:stretch>
                  </pic:blipFill>
                  <pic:spPr>
                    <a:xfrm>
                      <a:off x="0" y="0"/>
                      <a:ext cx="5900420" cy="3740785"/>
                    </a:xfrm>
                    <a:prstGeom prst="rect">
                      <a:avLst/>
                    </a:prstGeom>
                    <a:noFill/>
                    <a:ln>
                      <a:noFill/>
                    </a:ln>
                  </pic:spPr>
                </pic:pic>
              </a:graphicData>
            </a:graphic>
          </wp:anchor>
        </w:drawing>
      </w:r>
      <w:bookmarkStart w:id="175" w:name="_Toc97730652"/>
      <w:r>
        <w:rPr>
          <w:rFonts w:hint="eastAsia" w:ascii="宋体" w:hAnsi="宋体" w:eastAsia="宋体" w:cs="宋体"/>
          <w:color w:val="auto"/>
          <w:sz w:val="28"/>
          <w:szCs w:val="28"/>
          <w:lang w:val="en-US" w:eastAsia="zh-CN"/>
        </w:rPr>
        <w:t>附图4-2  开州区温泉镇东河温泉场镇集中供水工程水源地及固定、移动风险源分布图</w:t>
      </w:r>
      <w:bookmarkEnd w:id="174"/>
      <w:bookmarkEnd w:id="175"/>
    </w:p>
    <w:p w14:paraId="5EBF16F9">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76" w:name="_Toc16301"/>
      <w:bookmarkStart w:id="177" w:name="_Toc97730653"/>
      <w:r>
        <w:rPr>
          <w:rFonts w:hint="eastAsia" w:ascii="宋体" w:hAnsi="宋体" w:eastAsia="宋体" w:cs="宋体"/>
          <w:color w:val="auto"/>
          <w:sz w:val="28"/>
          <w:szCs w:val="28"/>
          <w:lang w:val="en-US" w:eastAsia="zh-CN"/>
        </w:rPr>
        <w:t>附图5 突发环境事件应急物资分布图</w:t>
      </w:r>
      <w:bookmarkEnd w:id="176"/>
      <w:bookmarkEnd w:id="177"/>
    </w:p>
    <w:p w14:paraId="5204E06D">
      <w:pPr>
        <w:rPr>
          <w:color w:val="auto"/>
        </w:rPr>
      </w:pPr>
      <w:r>
        <w:rPr>
          <w:color w:val="auto"/>
        </w:rPr>
        <mc:AlternateContent>
          <mc:Choice Requires="wps">
            <w:drawing>
              <wp:anchor distT="0" distB="0" distL="114300" distR="114300" simplePos="0" relativeHeight="251666432" behindDoc="0" locked="0" layoutInCell="1" allowOverlap="1">
                <wp:simplePos x="0" y="0"/>
                <wp:positionH relativeFrom="column">
                  <wp:posOffset>695325</wp:posOffset>
                </wp:positionH>
                <wp:positionV relativeFrom="paragraph">
                  <wp:posOffset>107315</wp:posOffset>
                </wp:positionV>
                <wp:extent cx="100965" cy="110490"/>
                <wp:effectExtent l="21590" t="29210" r="29845" b="31750"/>
                <wp:wrapNone/>
                <wp:docPr id="20" name="五角星 20"/>
                <wp:cNvGraphicFramePr/>
                <a:graphic xmlns:a="http://schemas.openxmlformats.org/drawingml/2006/main">
                  <a:graphicData uri="http://schemas.microsoft.com/office/word/2010/wordprocessingShape">
                    <wps:wsp>
                      <wps:cNvSpPr/>
                      <wps:spPr>
                        <a:xfrm>
                          <a:off x="0" y="0"/>
                          <a:ext cx="100965" cy="11049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17ABE039"/>
                        </w:txbxContent>
                      </wps:txbx>
                      <wps:bodyPr upright="1"/>
                    </wps:wsp>
                  </a:graphicData>
                </a:graphic>
              </wp:anchor>
            </w:drawing>
          </mc:Choice>
          <mc:Fallback>
            <w:pict>
              <v:shape id="_x0000_s1026" o:spid="_x0000_s1026" style="position:absolute;left:0pt;margin-left:54.75pt;margin-top:8.45pt;height:8.7pt;width:7.95pt;z-index:251666432;mso-width-relative:page;mso-height-relative:page;" fillcolor="#FFFFFF" filled="t" stroked="t" coordsize="100965,110490" o:gfxdata="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uwug/YAAAACQEAAA8AAAAAAAAAAQAgAAAAIgAA&#10;AGRycy9kb3ducmV2LnhtbFBLAQIUABQAAAAIAIdO4kC69UHvQQIAALYEAAAOAAAAAAAAAAEAIAAA&#10;ACcBAABkcnMvZTJvRG9jLnhtbFBLBQYAAAAABgAGAFkBAADaBQAAAAA=&#10;" path="m0,42203l38565,42203,50482,0,62399,42203,100964,42203,69764,68286,81682,110489,50482,84406,19282,110489,31200,68286xe">
                <v:path textboxrect="0,0,100965,110490" o:connectlocs="50482,0;0,42203;19282,110489;81682,110489;100964,42203" o:connectangles="247,164,82,82,0"/>
                <v:fill type="gradient" on="t" color2="#FFFFFF" angle="90" focus="100%" focussize="0,0">
                  <o:fill type="gradientUnscaled" v:ext="backwardCompatible"/>
                </v:fill>
                <v:stroke weight="1.25pt" color="#FF0000" joinstyle="miter"/>
                <v:imagedata o:title=""/>
                <o:lock v:ext="edit" aspectratio="f"/>
                <v:textbox>
                  <w:txbxContent>
                    <w:p w14:paraId="17ABE039"/>
                  </w:txbxContent>
                </v:textbox>
              </v:shape>
            </w:pict>
          </mc:Fallback>
        </mc:AlternateContent>
      </w:r>
      <w:r>
        <w:rPr>
          <w:color w:val="auto"/>
        </w:rPr>
        <w:drawing>
          <wp:anchor distT="0" distB="0" distL="114300" distR="114300" simplePos="0" relativeHeight="251674624" behindDoc="1" locked="0" layoutInCell="1" allowOverlap="1">
            <wp:simplePos x="0" y="0"/>
            <wp:positionH relativeFrom="column">
              <wp:posOffset>-39370</wp:posOffset>
            </wp:positionH>
            <wp:positionV relativeFrom="paragraph">
              <wp:posOffset>36195</wp:posOffset>
            </wp:positionV>
            <wp:extent cx="8880475" cy="4712335"/>
            <wp:effectExtent l="0" t="0" r="15875" b="12065"/>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3" r:link="rId24"/>
                    <a:stretch>
                      <a:fillRect/>
                    </a:stretch>
                  </pic:blipFill>
                  <pic:spPr>
                    <a:xfrm>
                      <a:off x="0" y="0"/>
                      <a:ext cx="8880475" cy="4712335"/>
                    </a:xfrm>
                    <a:prstGeom prst="rect">
                      <a:avLst/>
                    </a:prstGeom>
                    <a:noFill/>
                    <a:ln>
                      <a:noFill/>
                    </a:ln>
                  </pic:spPr>
                </pic:pic>
              </a:graphicData>
            </a:graphic>
          </wp:anchor>
        </w:drawing>
      </w:r>
    </w:p>
    <w:p w14:paraId="5883B99A">
      <w:pPr>
        <w:widowControl/>
        <w:jc w:val="left"/>
        <w:rPr>
          <w:rFonts w:ascii="宋体" w:hAnsi="宋体" w:cs="宋体"/>
          <w:color w:val="auto"/>
          <w:kern w:val="0"/>
          <w:sz w:val="24"/>
        </w:rPr>
      </w:pPr>
    </w:p>
    <w:p w14:paraId="3F5E372D">
      <w:pPr>
        <w:jc w:val="center"/>
        <w:rPr>
          <w:rFonts w:hint="eastAsia"/>
          <w:color w:val="auto"/>
        </w:rPr>
        <w:sectPr>
          <w:pgSz w:w="16838" w:h="11906" w:orient="landscape"/>
          <w:pgMar w:top="1803" w:right="1440" w:bottom="1803" w:left="1440" w:header="851" w:footer="992" w:gutter="0"/>
          <w:cols w:space="720" w:num="1"/>
          <w:docGrid w:type="lines" w:linePitch="319" w:charSpace="0"/>
        </w:sectPr>
      </w:pPr>
      <w:r>
        <w:rPr>
          <w:color w:val="auto"/>
          <w:sz w:val="24"/>
        </w:rPr>
        <mc:AlternateContent>
          <mc:Choice Requires="wpg">
            <w:drawing>
              <wp:anchor distT="0" distB="0" distL="114300" distR="114300" simplePos="0" relativeHeight="251670528" behindDoc="0" locked="0" layoutInCell="1" allowOverlap="1">
                <wp:simplePos x="0" y="0"/>
                <wp:positionH relativeFrom="column">
                  <wp:posOffset>-39370</wp:posOffset>
                </wp:positionH>
                <wp:positionV relativeFrom="paragraph">
                  <wp:posOffset>3848100</wp:posOffset>
                </wp:positionV>
                <wp:extent cx="986790" cy="495300"/>
                <wp:effectExtent l="4445" t="5080" r="18415" b="13970"/>
                <wp:wrapNone/>
                <wp:docPr id="27" name="组合 27"/>
                <wp:cNvGraphicFramePr/>
                <a:graphic xmlns:a="http://schemas.openxmlformats.org/drawingml/2006/main">
                  <a:graphicData uri="http://schemas.microsoft.com/office/word/2010/wordprocessingGroup">
                    <wpg:wgp>
                      <wpg:cNvGrpSpPr/>
                      <wpg:grpSpPr>
                        <a:xfrm>
                          <a:off x="0" y="0"/>
                          <a:ext cx="986790" cy="495300"/>
                          <a:chOff x="4943" y="1077664"/>
                          <a:chExt cx="1554" cy="780"/>
                        </a:xfrm>
                      </wpg:grpSpPr>
                      <wps:wsp>
                        <wps:cNvPr id="24" name="矩形 24"/>
                        <wps:cNvSpPr/>
                        <wps:spPr>
                          <a:xfrm>
                            <a:off x="4943" y="1077664"/>
                            <a:ext cx="1555"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0BC28">
                              <w:pPr>
                                <w:ind w:firstLine="420" w:firstLineChars="200"/>
                                <w:rPr>
                                  <w:rFonts w:hint="eastAsia"/>
                                  <w:szCs w:val="21"/>
                                </w:rPr>
                              </w:pPr>
                              <w:r>
                                <w:rPr>
                                  <w:rFonts w:hint="eastAsia"/>
                                  <w:szCs w:val="21"/>
                                </w:rPr>
                                <w:t>取水点</w:t>
                              </w:r>
                            </w:p>
                            <w:p w14:paraId="5A8D5F14">
                              <w:pPr>
                                <w:ind w:firstLine="420" w:firstLineChars="200"/>
                                <w:rPr>
                                  <w:rFonts w:hint="eastAsia"/>
                                  <w:szCs w:val="21"/>
                                </w:rPr>
                              </w:pPr>
                              <w:r>
                                <w:rPr>
                                  <w:rFonts w:hint="eastAsia"/>
                                  <w:szCs w:val="21"/>
                                </w:rPr>
                                <w:t>镇政府</w:t>
                              </w:r>
                            </w:p>
                          </w:txbxContent>
                        </wps:txbx>
                        <wps:bodyPr upright="1"/>
                      </wps:wsp>
                      <wps:wsp>
                        <wps:cNvPr id="25" name="五角星 25"/>
                        <wps:cNvSpPr/>
                        <wps:spPr>
                          <a:xfrm>
                            <a:off x="5197" y="1077755"/>
                            <a:ext cx="255" cy="23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22290C33"/>
                          </w:txbxContent>
                        </wps:txbx>
                        <wps:bodyPr upright="1"/>
                      </wps:wsp>
                      <wps:wsp>
                        <wps:cNvPr id="26" name="等腰三角形 26"/>
                        <wps:cNvSpPr/>
                        <wps:spPr>
                          <a:xfrm>
                            <a:off x="5264" y="1078093"/>
                            <a:ext cx="176" cy="15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1pt;margin-top:303pt;height:39pt;width:77.7pt;z-index:251670528;mso-width-relative:page;mso-height-relative:page;" coordorigin="4943,1077664" coordsize="1554,780" o:gfxdata="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L4baEXZAAAACgEAAA8AAAAAAAAAAQAgAAAAIgAAAGRycy9kb3ducmV2LnhtbFBLAQIUABQA&#10;AAAIAIdO4kDZ7BzGfgMAALkKAAAOAAAAAAAAAAEAIAAAACgBAABkcnMvZTJvRG9jLnhtbFBLBQYA&#10;AAAABgAGAFkBAAAYBwAAAAA=&#10;">
                <o:lock v:ext="edit" aspectratio="f"/>
                <v:rect id="_x0000_s1026" o:spid="_x0000_s1026" o:spt="1" style="position:absolute;left:4943;top:1077664;height:781;width:1555;" fillcolor="#FFFFFF" filled="t" stroked="t" coordsize="21600,21600"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00BC28">
                        <w:pPr>
                          <w:ind w:firstLine="420" w:firstLineChars="200"/>
                          <w:rPr>
                            <w:rFonts w:hint="eastAsia"/>
                            <w:szCs w:val="21"/>
                          </w:rPr>
                        </w:pPr>
                        <w:r>
                          <w:rPr>
                            <w:rFonts w:hint="eastAsia"/>
                            <w:szCs w:val="21"/>
                          </w:rPr>
                          <w:t>取水点</w:t>
                        </w:r>
                      </w:p>
                      <w:p w14:paraId="5A8D5F14">
                        <w:pPr>
                          <w:ind w:firstLine="420" w:firstLineChars="200"/>
                          <w:rPr>
                            <w:rFonts w:hint="eastAsia"/>
                            <w:szCs w:val="21"/>
                          </w:rPr>
                        </w:pPr>
                        <w:r>
                          <w:rPr>
                            <w:rFonts w:hint="eastAsia"/>
                            <w:szCs w:val="21"/>
                          </w:rPr>
                          <w:t>镇政府</w:t>
                        </w:r>
                      </w:p>
                    </w:txbxContent>
                  </v:textbox>
                </v:rect>
                <v:shape id="_x0000_s1026" o:spid="_x0000_s1026" style="position:absolute;left:5197;top:1077755;height:230;width:255;" fillcolor="#FFFFFF" filled="t" stroked="t" coordsize="255,230" o:gfxdata="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3/YKvQAA&#10;ANsAAAAPAAAAAAAAAAEAIAAAACIAAABkcnMvZG93bnJldi54bWxQSwECFAAUAAAACACHTuJAMy8F&#10;njsAAAA5AAAAEAAAAAAAAAABACAAAAAMAQAAZHJzL3NoYXBleG1sLnhtbFBLBQYAAAAABgAGAFsB&#10;AAC2AwAAAAA=&#10;" path="m0,87l97,87,127,0,157,87,254,87,176,142,206,229,127,175,48,229,78,142xe">
                  <v:path textboxrect="0,0,255,230" o:connectlocs="127,0;0,87;48,229;206,229;254,87" o:connectangles="247,164,82,82,0"/>
                  <v:fill type="gradient" on="t" color2="#FFFFFF" angle="90" focus="100%" focussize="0,0">
                    <o:fill type="gradientUnscaled" v:ext="backwardCompatible"/>
                  </v:fill>
                  <v:stroke weight="1.25pt" color="#FF0000" joinstyle="miter"/>
                  <v:imagedata o:title=""/>
                  <o:lock v:ext="edit" aspectratio="f"/>
                  <v:textbox>
                    <w:txbxContent>
                      <w:p w14:paraId="22290C33"/>
                    </w:txbxContent>
                  </v:textbox>
                </v:shape>
                <v:shape id="_x0000_s1026" o:spid="_x0000_s1026" o:spt="5" type="#_x0000_t5" style="position:absolute;left:5264;top:1078093;height:154;width:176;" fillcolor="#FFFFFF" filled="t" stroked="t" coordsize="21600,21600" o:gfxdata="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SWlb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5296535</wp:posOffset>
                </wp:positionH>
                <wp:positionV relativeFrom="paragraph">
                  <wp:posOffset>3806825</wp:posOffset>
                </wp:positionV>
                <wp:extent cx="987425" cy="278130"/>
                <wp:effectExtent l="0" t="0" r="0" b="0"/>
                <wp:wrapNone/>
                <wp:docPr id="30" name="矩形 30"/>
                <wp:cNvGraphicFramePr/>
                <a:graphic xmlns:a="http://schemas.openxmlformats.org/drawingml/2006/main">
                  <a:graphicData uri="http://schemas.microsoft.com/office/word/2010/wordprocessingShape">
                    <wps:wsp>
                      <wps:cNvSpPr/>
                      <wps:spPr>
                        <a:xfrm>
                          <a:off x="0" y="0"/>
                          <a:ext cx="987425" cy="278130"/>
                        </a:xfrm>
                        <a:prstGeom prst="rect">
                          <a:avLst/>
                        </a:prstGeom>
                        <a:noFill/>
                        <a:ln>
                          <a:noFill/>
                        </a:ln>
                      </wps:spPr>
                      <wps:txbx>
                        <w:txbxContent>
                          <w:p w14:paraId="44613892">
                            <w:pPr>
                              <w:rPr>
                                <w:rFonts w:hint="eastAsia"/>
                                <w:b/>
                                <w:color w:val="FF0000"/>
                                <w:szCs w:val="21"/>
                              </w:rPr>
                            </w:pPr>
                            <w:r>
                              <w:rPr>
                                <w:rFonts w:hint="eastAsia"/>
                                <w:b/>
                                <w:color w:val="FF0000"/>
                                <w:szCs w:val="21"/>
                              </w:rPr>
                              <w:t>温泉镇政府</w:t>
                            </w:r>
                          </w:p>
                        </w:txbxContent>
                      </wps:txbx>
                      <wps:bodyPr upright="1"/>
                    </wps:wsp>
                  </a:graphicData>
                </a:graphic>
              </wp:anchor>
            </w:drawing>
          </mc:Choice>
          <mc:Fallback>
            <w:pict>
              <v:rect id="_x0000_s1026" o:spid="_x0000_s1026" o:spt="1" style="position:absolute;left:0pt;margin-left:417.05pt;margin-top:299.75pt;height:21.9pt;width:77.75pt;z-index:251668480;mso-width-relative:page;mso-height-relative:page;" filled="f" stroked="f" coordsize="21600,21600" o:gfxdata="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lVhIm3AAAAAsBAAAP&#10;AAAAAAAAAAEAIAAAACIAAABkcnMvZG93bnJldi54bWxQSwECFAAUAAAACACHTuJASkQmjqIBAABC&#10;AwAADgAAAAAAAAABACAAAAArAQAAZHJzL2Uyb0RvYy54bWxQSwUGAAAAAAYABgBZAQAAPwUAAAAA&#10;">
                <v:fill on="f" focussize="0,0"/>
                <v:stroke on="f"/>
                <v:imagedata o:title=""/>
                <o:lock v:ext="edit" aspectratio="f"/>
                <v:textbox>
                  <w:txbxContent>
                    <w:p w14:paraId="44613892">
                      <w:pPr>
                        <w:rPr>
                          <w:rFonts w:hint="eastAsia"/>
                          <w:b/>
                          <w:color w:val="FF0000"/>
                          <w:szCs w:val="21"/>
                        </w:rPr>
                      </w:pPr>
                      <w:r>
                        <w:rPr>
                          <w:rFonts w:hint="eastAsia"/>
                          <w:b/>
                          <w:color w:val="FF0000"/>
                          <w:szCs w:val="21"/>
                        </w:rPr>
                        <w:t>温泉镇政府</w:t>
                      </w:r>
                    </w:p>
                  </w:txbxContent>
                </v:textbox>
              </v:rect>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5694680</wp:posOffset>
                </wp:positionH>
                <wp:positionV relativeFrom="paragraph">
                  <wp:posOffset>3669665</wp:posOffset>
                </wp:positionV>
                <wp:extent cx="111760" cy="97790"/>
                <wp:effectExtent l="8255" t="9525" r="13335" b="6985"/>
                <wp:wrapNone/>
                <wp:docPr id="32" name="等腰三角形 32"/>
                <wp:cNvGraphicFramePr/>
                <a:graphic xmlns:a="http://schemas.openxmlformats.org/drawingml/2006/main">
                  <a:graphicData uri="http://schemas.microsoft.com/office/word/2010/wordprocessingShape">
                    <wps:wsp>
                      <wps:cNvSpPr/>
                      <wps:spPr>
                        <a:xfrm>
                          <a:off x="0" y="0"/>
                          <a:ext cx="111760" cy="9779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57450350"/>
                        </w:txbxContent>
                      </wps:txbx>
                      <wps:bodyPr upright="1"/>
                    </wps:wsp>
                  </a:graphicData>
                </a:graphic>
              </wp:anchor>
            </w:drawing>
          </mc:Choice>
          <mc:Fallback>
            <w:pict>
              <v:shape id="_x0000_s1026" o:spid="_x0000_s1026" o:spt="5" type="#_x0000_t5" style="position:absolute;left:0pt;margin-left:448.4pt;margin-top:288.95pt;height:7.7pt;width:8.8pt;z-index:251667456;mso-width-relative:page;mso-height-relative:page;" fillcolor="#FFFFFF" filled="t" stroked="t" coordsize="21600,21600" o:gfxdata="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YIjm2wAAAAsBAAAPAAAAAAAAAAEAIAAAACIAAABkcnMvZG93bnJldi54bWxQ&#10;SwECFAAUAAAACACHTuJAttstZy0CAABiBAAADgAAAAAAAAABACAAAAAqAQAAZHJzL2Uyb0RvYy54&#10;bWxQSwUGAAAAAAYABgBZAQAAyQUAAAAA&#10;" adj="10800">
                <v:fill on="t" focussize="0,0"/>
                <v:stroke color="#000000" joinstyle="miter"/>
                <v:imagedata o:title=""/>
                <o:lock v:ext="edit" aspectratio="f"/>
                <v:textbox>
                  <w:txbxContent>
                    <w:p w14:paraId="57450350"/>
                  </w:txbxContent>
                </v:textbox>
              </v:shap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5436870</wp:posOffset>
                </wp:positionH>
                <wp:positionV relativeFrom="paragraph">
                  <wp:posOffset>3074670</wp:posOffset>
                </wp:positionV>
                <wp:extent cx="100965" cy="110490"/>
                <wp:effectExtent l="21590" t="29210" r="29845" b="31750"/>
                <wp:wrapNone/>
                <wp:docPr id="31" name="五角星 31"/>
                <wp:cNvGraphicFramePr/>
                <a:graphic xmlns:a="http://schemas.openxmlformats.org/drawingml/2006/main">
                  <a:graphicData uri="http://schemas.microsoft.com/office/word/2010/wordprocessingShape">
                    <wps:wsp>
                      <wps:cNvSpPr/>
                      <wps:spPr>
                        <a:xfrm>
                          <a:off x="0" y="0"/>
                          <a:ext cx="100965" cy="11049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2588BFF4"/>
                        </w:txbxContent>
                      </wps:txbx>
                      <wps:bodyPr upright="1"/>
                    </wps:wsp>
                  </a:graphicData>
                </a:graphic>
              </wp:anchor>
            </w:drawing>
          </mc:Choice>
          <mc:Fallback>
            <w:pict>
              <v:shape id="_x0000_s1026" o:spid="_x0000_s1026" style="position:absolute;left:0pt;margin-left:428.1pt;margin-top:242.1pt;height:8.7pt;width:7.95pt;z-index:251675648;mso-width-relative:page;mso-height-relative:page;" fillcolor="#FFFFFF" filled="t" stroked="t" coordsize="100965,110490" o:gfxdata="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oeAr2QAAAAsBAAAPAAAAAAAAAAEAIAAAACIA&#10;AABkcnMvZG93bnJldi54bWxQSwECFAAUAAAACACHTuJAUT9qOUECAAC2BAAADgAAAAAAAAABACAA&#10;AAAoAQAAZHJzL2Uyb0RvYy54bWxQSwUGAAAAAAYABgBZAQAA2wUAAAAA&#10;" path="m0,42203l38565,42203,50482,0,62399,42203,100964,42203,69764,68286,81682,110489,50482,84406,19282,110489,31200,68286xe">
                <v:path textboxrect="0,0,100965,110490" o:connectlocs="50482,0;0,42203;19282,110489;81682,110489;100964,42203" o:connectangles="247,164,82,82,0"/>
                <v:fill type="gradient" on="t" color2="#FFFFFF" angle="90" focus="100%" focussize="0,0">
                  <o:fill type="gradientUnscaled" v:ext="backwardCompatible"/>
                </v:fill>
                <v:stroke weight="1.25pt" color="#FF0000" joinstyle="miter"/>
                <v:imagedata o:title=""/>
                <o:lock v:ext="edit" aspectratio="f"/>
                <v:textbox>
                  <w:txbxContent>
                    <w:p w14:paraId="2588BFF4"/>
                  </w:txbxContent>
                </v:textbox>
              </v:shape>
            </w:pict>
          </mc:Fallback>
        </mc:AlternateContent>
      </w:r>
    </w:p>
    <w:p w14:paraId="19426CA7">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78" w:name="_Toc97730654"/>
      <w:bookmarkStart w:id="179" w:name="_Toc3879"/>
      <w:r>
        <w:rPr>
          <w:rFonts w:hint="eastAsia" w:ascii="宋体" w:hAnsi="宋体" w:eastAsia="宋体" w:cs="宋体"/>
          <w:color w:val="auto"/>
          <w:sz w:val="28"/>
          <w:szCs w:val="28"/>
          <w:lang w:val="en-US" w:eastAsia="zh-CN"/>
        </w:rPr>
        <w:t>附图6 饮用水源地监测点位分布图</w:t>
      </w:r>
      <w:bookmarkEnd w:id="178"/>
      <w:bookmarkEnd w:id="179"/>
    </w:p>
    <w:p w14:paraId="14A17DD5">
      <w:pPr>
        <w:rPr>
          <w:rFonts w:hint="eastAsia"/>
          <w:color w:val="auto"/>
        </w:rPr>
      </w:pPr>
      <w:r>
        <w:rPr>
          <w:color w:val="auto"/>
          <w:sz w:val="24"/>
        </w:rPr>
        <w:drawing>
          <wp:inline distT="0" distB="0" distL="114300" distR="114300">
            <wp:extent cx="5269865" cy="7253605"/>
            <wp:effectExtent l="0" t="0" r="6985" b="4445"/>
            <wp:docPr id="28" name="图片 7" descr="微信图片_202010091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微信图片_20201009181100"/>
                    <pic:cNvPicPr>
                      <a:picLocks noChangeAspect="1"/>
                    </pic:cNvPicPr>
                  </pic:nvPicPr>
                  <pic:blipFill>
                    <a:blip r:embed="rId25"/>
                    <a:stretch>
                      <a:fillRect/>
                    </a:stretch>
                  </pic:blipFill>
                  <pic:spPr>
                    <a:xfrm>
                      <a:off x="0" y="0"/>
                      <a:ext cx="5269865" cy="7253605"/>
                    </a:xfrm>
                    <a:prstGeom prst="rect">
                      <a:avLst/>
                    </a:prstGeom>
                    <a:noFill/>
                    <a:ln>
                      <a:noFill/>
                    </a:ln>
                  </pic:spPr>
                </pic:pic>
              </a:graphicData>
            </a:graphic>
          </wp:inline>
        </w:drawing>
      </w:r>
      <w:r>
        <w:rPr>
          <w:color w:val="auto"/>
        </w:rPr>
        <mc:AlternateContent>
          <mc:Choice Requires="wps">
            <w:drawing>
              <wp:anchor distT="0" distB="0" distL="114300" distR="114300" simplePos="0" relativeHeight="251678720" behindDoc="0" locked="0" layoutInCell="1" allowOverlap="1">
                <wp:simplePos x="0" y="0"/>
                <wp:positionH relativeFrom="column">
                  <wp:posOffset>1407795</wp:posOffset>
                </wp:positionH>
                <wp:positionV relativeFrom="paragraph">
                  <wp:posOffset>2535555</wp:posOffset>
                </wp:positionV>
                <wp:extent cx="1538605" cy="485775"/>
                <wp:effectExtent l="7620" t="8255" r="15875" b="744220"/>
                <wp:wrapNone/>
                <wp:docPr id="33" name="矩形标注 33"/>
                <wp:cNvGraphicFramePr/>
                <a:graphic xmlns:a="http://schemas.openxmlformats.org/drawingml/2006/main">
                  <a:graphicData uri="http://schemas.microsoft.com/office/word/2010/wordprocessingShape">
                    <wps:wsp>
                      <wps:cNvSpPr/>
                      <wps:spPr>
                        <a:xfrm>
                          <a:off x="0" y="0"/>
                          <a:ext cx="1538605" cy="485775"/>
                        </a:xfrm>
                        <a:prstGeom prst="wedgeRectCallout">
                          <a:avLst>
                            <a:gd name="adj1" fmla="val 47606"/>
                            <a:gd name="adj2" fmla="val 193662"/>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080C06B2">
                            <w:pPr>
                              <w:rPr>
                                <w:sz w:val="13"/>
                                <w:szCs w:val="13"/>
                              </w:rPr>
                            </w:pPr>
                            <w:r>
                              <w:rPr>
                                <w:rFonts w:hint="eastAsia" w:hAnsi="宋体"/>
                                <w:bCs/>
                                <w:sz w:val="13"/>
                                <w:szCs w:val="13"/>
                              </w:rPr>
                              <w:t>开州区温泉镇东河温泉场镇集中供水工程水源地</w:t>
                            </w:r>
                          </w:p>
                        </w:txbxContent>
                      </wps:txbx>
                      <wps:bodyPr upright="1"/>
                    </wps:wsp>
                  </a:graphicData>
                </a:graphic>
              </wp:anchor>
            </w:drawing>
          </mc:Choice>
          <mc:Fallback>
            <w:pict>
              <v:shape id="_x0000_s1026" o:spid="_x0000_s1026" o:spt="61" type="#_x0000_t61" style="position:absolute;left:0pt;margin-left:110.85pt;margin-top:199.65pt;height:38.25pt;width:121.15pt;z-index:251678720;mso-width-relative:page;mso-height-relative:page;" fillcolor="#FFFFFF" filled="t" stroked="t" coordsize="21600,21600" o:gfxdata="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Oz6VNkAAAALAQAADwAAAAAAAAABACAAAAAiAAAA&#10;ZHJzL2Rvd25yZXYueG1sUEsBAhQAFAAAAAgAh07iQDqKhP94AgAAFwUAAA4AAAAAAAAAAQAgAAAA&#10;KAEAAGRycy9lMm9Eb2MueG1sUEsFBgAAAAAGAAYAWQEAABIGAAAAAA==&#10;" adj="21083,52631">
                <v:fill type="gradient" on="t" color2="#FFFFFF" angle="90" focus="100%" focussize="0,0">
                  <o:fill type="gradientUnscaled" v:ext="backwardCompatible"/>
                </v:fill>
                <v:stroke weight="1.25pt" color="#739CC3" joinstyle="miter"/>
                <v:imagedata o:title=""/>
                <o:lock v:ext="edit" aspectratio="f"/>
                <v:textbox>
                  <w:txbxContent>
                    <w:p w14:paraId="080C06B2">
                      <w:pPr>
                        <w:rPr>
                          <w:sz w:val="13"/>
                          <w:szCs w:val="13"/>
                        </w:rPr>
                      </w:pPr>
                      <w:r>
                        <w:rPr>
                          <w:rFonts w:hint="eastAsia" w:hAnsi="宋体"/>
                          <w:bCs/>
                          <w:sz w:val="13"/>
                          <w:szCs w:val="13"/>
                        </w:rPr>
                        <w:t>开州区温泉镇东河温泉场镇集中供水工程水源地</w:t>
                      </w:r>
                    </w:p>
                  </w:txbxContent>
                </v:textbox>
              </v:shap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3177540</wp:posOffset>
                </wp:positionH>
                <wp:positionV relativeFrom="paragraph">
                  <wp:posOffset>3545205</wp:posOffset>
                </wp:positionV>
                <wp:extent cx="1565910" cy="290195"/>
                <wp:effectExtent l="36830" t="7620" r="16510" b="140335"/>
                <wp:wrapNone/>
                <wp:docPr id="29" name="矩形标注 29"/>
                <wp:cNvGraphicFramePr/>
                <a:graphic xmlns:a="http://schemas.openxmlformats.org/drawingml/2006/main">
                  <a:graphicData uri="http://schemas.microsoft.com/office/word/2010/wordprocessingShape">
                    <wps:wsp>
                      <wps:cNvSpPr/>
                      <wps:spPr>
                        <a:xfrm>
                          <a:off x="0" y="0"/>
                          <a:ext cx="1565910" cy="290195"/>
                        </a:xfrm>
                        <a:prstGeom prst="wedgeRectCallout">
                          <a:avLst>
                            <a:gd name="adj1" fmla="val -48542"/>
                            <a:gd name="adj2" fmla="val 8698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1D844F6C">
                            <w:pPr>
                              <w:rPr>
                                <w:sz w:val="13"/>
                                <w:szCs w:val="13"/>
                              </w:rPr>
                            </w:pPr>
                            <w:r>
                              <w:rPr>
                                <w:rFonts w:hint="eastAsia" w:hAnsi="宋体"/>
                                <w:bCs/>
                                <w:sz w:val="13"/>
                                <w:szCs w:val="13"/>
                              </w:rPr>
                              <w:t>开州区温泉镇东河温泉供水站水源地</w:t>
                            </w:r>
                          </w:p>
                        </w:txbxContent>
                      </wps:txbx>
                      <wps:bodyPr upright="1"/>
                    </wps:wsp>
                  </a:graphicData>
                </a:graphic>
              </wp:anchor>
            </w:drawing>
          </mc:Choice>
          <mc:Fallback>
            <w:pict>
              <v:shape id="_x0000_s1026" o:spid="_x0000_s1026" o:spt="61" type="#_x0000_t61" style="position:absolute;left:0pt;margin-left:250.2pt;margin-top:279.15pt;height:22.85pt;width:123.3pt;z-index:251677696;mso-width-relative:page;mso-height-relative:page;" fillcolor="#FFFFFF" filled="t" stroked="t" coordsize="21600,21600" o:gfxdata="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C/pU3aAAAACwEAAA8AAAAAAAAAAQAgAAAAIgAA&#10;AGRycy9kb3ducmV2LnhtbFBLAQIUABQAAAAIAIdO4kCCjQTPeAIAABcFAAAOAAAAAAAAAAEAIAAA&#10;ACkBAABkcnMvZTJvRG9jLnhtbFBLBQYAAAAABgAGAFkBAAATBgAAAAA=&#10;" adj="315,29588">
                <v:fill type="gradient" on="t" color2="#FFFFFF" angle="90" focus="100%" focussize="0,0">
                  <o:fill type="gradientUnscaled" v:ext="backwardCompatible"/>
                </v:fill>
                <v:stroke weight="1.25pt" color="#739CC3" joinstyle="miter"/>
                <v:imagedata o:title=""/>
                <o:lock v:ext="edit" aspectratio="f"/>
                <v:textbox>
                  <w:txbxContent>
                    <w:p w14:paraId="1D844F6C">
                      <w:pPr>
                        <w:rPr>
                          <w:sz w:val="13"/>
                          <w:szCs w:val="13"/>
                        </w:rPr>
                      </w:pPr>
                      <w:r>
                        <w:rPr>
                          <w:rFonts w:hint="eastAsia" w:hAnsi="宋体"/>
                          <w:bCs/>
                          <w:sz w:val="13"/>
                          <w:szCs w:val="13"/>
                        </w:rPr>
                        <w:t>开州区温泉镇东河温泉供水站水源地</w:t>
                      </w:r>
                    </w:p>
                  </w:txbxContent>
                </v:textbox>
              </v:shape>
            </w:pict>
          </mc:Fallback>
        </mc:AlternateContent>
      </w:r>
      <w:r>
        <w:rPr>
          <w:color w:val="auto"/>
        </w:rPr>
        <mc:AlternateContent>
          <mc:Choice Requires="wps">
            <w:drawing>
              <wp:anchor distT="0" distB="0" distL="114300" distR="114300" simplePos="0" relativeHeight="251676672" behindDoc="0" locked="0" layoutInCell="1" allowOverlap="1">
                <wp:simplePos x="0" y="0"/>
                <wp:positionH relativeFrom="column">
                  <wp:posOffset>2850515</wp:posOffset>
                </wp:positionH>
                <wp:positionV relativeFrom="paragraph">
                  <wp:posOffset>3743960</wp:posOffset>
                </wp:positionV>
                <wp:extent cx="131445" cy="146050"/>
                <wp:effectExtent l="21590" t="29845" r="37465" b="33655"/>
                <wp:wrapNone/>
                <wp:docPr id="35" name="五角星 35"/>
                <wp:cNvGraphicFramePr/>
                <a:graphic xmlns:a="http://schemas.openxmlformats.org/drawingml/2006/main">
                  <a:graphicData uri="http://schemas.microsoft.com/office/word/2010/wordprocessingShape">
                    <wps:wsp>
                      <wps:cNvSpPr/>
                      <wps:spPr>
                        <a:xfrm>
                          <a:off x="0" y="0"/>
                          <a:ext cx="131445" cy="14605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42EE65C3">
                            <w:r>
                              <w:drawing>
                                <wp:inline distT="0" distB="0" distL="114300" distR="114300">
                                  <wp:extent cx="6350" cy="698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6"/>
                                          <a:stretch>
                                            <a:fillRect/>
                                          </a:stretch>
                                        </pic:blipFill>
                                        <pic:spPr>
                                          <a:xfrm>
                                            <a:off x="0" y="0"/>
                                            <a:ext cx="6350" cy="698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style="position:absolute;left:0pt;margin-left:224.45pt;margin-top:294.8pt;height:11.5pt;width:10.35pt;z-index:251676672;mso-width-relative:page;mso-height-relative:page;" fillcolor="#FFFFFF" filled="t" stroked="t" coordsize="131445,146050" o:gfxdata="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VfcHrbAAAACwEAAA8AAAAAAAAAAQAgAAAA&#10;IgAAAGRycy9kb3ducmV2LnhtbFBLAQIUABQAAAAIAIdO4kCCYQ4dQQIAALYEAAAOAAAAAAAAAAEA&#10;IAAAACoBAABkcnMvZTJvRG9jLnhtbFBLBQYAAAAABgAGAFkBAADdBQAAAAA=&#10;" path="m0,55785l50207,55786,65722,0,81237,55786,131444,55785,90825,90263,106341,146049,65722,111571,25103,146049,40619,90263xe">
                <v:path textboxrect="0,0,131445,146050" o:connectlocs="65722,0;0,55785;25103,146049;106341,146049;131444,55785" o:connectangles="247,164,82,82,0"/>
                <v:fill type="gradient" on="t" color2="#FFFFFF" angle="90" focus="100%" focussize="0,0">
                  <o:fill type="gradientUnscaled" v:ext="backwardCompatible"/>
                </v:fill>
                <v:stroke weight="1.25pt" color="#FF0000" joinstyle="miter"/>
                <v:imagedata o:title=""/>
                <o:lock v:ext="edit" aspectratio="f"/>
                <v:textbox>
                  <w:txbxContent>
                    <w:p w14:paraId="42EE65C3">
                      <w:r>
                        <w:drawing>
                          <wp:inline distT="0" distB="0" distL="114300" distR="114300">
                            <wp:extent cx="6350" cy="698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6"/>
                                    <a:stretch>
                                      <a:fillRect/>
                                    </a:stretch>
                                  </pic:blipFill>
                                  <pic:spPr>
                                    <a:xfrm>
                                      <a:off x="0" y="0"/>
                                      <a:ext cx="6350" cy="6985"/>
                                    </a:xfrm>
                                    <a:prstGeom prst="rect">
                                      <a:avLst/>
                                    </a:prstGeom>
                                    <a:noFill/>
                                    <a:ln>
                                      <a:noFill/>
                                    </a:ln>
                                  </pic:spPr>
                                </pic:pic>
                              </a:graphicData>
                            </a:graphic>
                          </wp:inline>
                        </w:drawing>
                      </w: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3046095</wp:posOffset>
                </wp:positionH>
                <wp:positionV relativeFrom="paragraph">
                  <wp:posOffset>3890010</wp:posOffset>
                </wp:positionV>
                <wp:extent cx="131445" cy="146050"/>
                <wp:effectExtent l="21590" t="29845" r="37465" b="33655"/>
                <wp:wrapNone/>
                <wp:docPr id="36" name="五角星 36"/>
                <wp:cNvGraphicFramePr/>
                <a:graphic xmlns:a="http://schemas.openxmlformats.org/drawingml/2006/main">
                  <a:graphicData uri="http://schemas.microsoft.com/office/word/2010/wordprocessingShape">
                    <wps:wsp>
                      <wps:cNvSpPr/>
                      <wps:spPr>
                        <a:xfrm>
                          <a:off x="0" y="0"/>
                          <a:ext cx="131445" cy="14605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22F34467">
                            <w:r>
                              <w:drawing>
                                <wp:inline distT="0" distB="0" distL="114300" distR="114300">
                                  <wp:extent cx="6350" cy="6985"/>
                                  <wp:effectExtent l="0" t="0" r="0"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6"/>
                                          <a:stretch>
                                            <a:fillRect/>
                                          </a:stretch>
                                        </pic:blipFill>
                                        <pic:spPr>
                                          <a:xfrm>
                                            <a:off x="0" y="0"/>
                                            <a:ext cx="6350" cy="698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style="position:absolute;left:0pt;margin-left:239.85pt;margin-top:306.3pt;height:11.5pt;width:10.35pt;z-index:251671552;mso-width-relative:page;mso-height-relative:page;" fillcolor="#FFFFFF" filled="t" stroked="t" coordsize="131445,146050" o:gfxdata="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G0MN2wAAAAsBAAAPAAAAAAAAAAEAIAAA&#10;ACIAAABkcnMvZG93bnJldi54bWxQSwECFAAUAAAACACHTuJAPb8n50ICAAC2BAAADgAAAAAAAAAB&#10;ACAAAAAqAQAAZHJzL2Uyb0RvYy54bWxQSwUGAAAAAAYABgBZAQAA3gUAAAAA&#10;" path="m0,55785l50207,55786,65722,0,81237,55786,131444,55785,90825,90263,106341,146049,65722,111571,25103,146049,40619,90263xe">
                <v:path textboxrect="0,0,131445,146050" o:connectlocs="65722,0;0,55785;25103,146049;106341,146049;131444,55785" o:connectangles="247,164,82,82,0"/>
                <v:fill type="gradient" on="t" color2="#FFFFFF" angle="90" focus="100%" focussize="0,0">
                  <o:fill type="gradientUnscaled" v:ext="backwardCompatible"/>
                </v:fill>
                <v:stroke weight="1.25pt" color="#FF0000" joinstyle="miter"/>
                <v:imagedata o:title=""/>
                <o:lock v:ext="edit" aspectratio="f"/>
                <v:textbox>
                  <w:txbxContent>
                    <w:p w14:paraId="22F34467">
                      <w:r>
                        <w:drawing>
                          <wp:inline distT="0" distB="0" distL="114300" distR="114300">
                            <wp:extent cx="6350" cy="6985"/>
                            <wp:effectExtent l="0" t="0" r="0"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6"/>
                                    <a:stretch>
                                      <a:fillRect/>
                                    </a:stretch>
                                  </pic:blipFill>
                                  <pic:spPr>
                                    <a:xfrm>
                                      <a:off x="0" y="0"/>
                                      <a:ext cx="6350" cy="6985"/>
                                    </a:xfrm>
                                    <a:prstGeom prst="rect">
                                      <a:avLst/>
                                    </a:prstGeom>
                                    <a:noFill/>
                                    <a:ln>
                                      <a:noFill/>
                                    </a:ln>
                                  </pic:spPr>
                                </pic:pic>
                              </a:graphicData>
                            </a:graphic>
                          </wp:inline>
                        </w:drawing>
                      </w:r>
                    </w:p>
                  </w:txbxContent>
                </v:textbox>
              </v:shape>
            </w:pict>
          </mc:Fallback>
        </mc:AlternateContent>
      </w:r>
    </w:p>
    <w:p w14:paraId="0E1848FD">
      <w:pPr>
        <w:rPr>
          <w:rFonts w:hint="default"/>
          <w:color w:val="auto"/>
          <w:lang w:val="en-US" w:eastAsia="zh-CN"/>
        </w:rPr>
      </w:pPr>
    </w:p>
    <w:p w14:paraId="5633577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both"/>
        <w:textAlignment w:val="auto"/>
        <w:outlineLvl w:val="2"/>
        <w:rPr>
          <w:rFonts w:hint="default" w:ascii="宋体" w:hAnsi="宋体" w:eastAsia="宋体" w:cs="宋体"/>
          <w:color w:val="auto"/>
          <w:kern w:val="2"/>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E14EB661-8214-4ABC-BDC5-783524082149}"/>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2" w:fontKey="{5D1448B4-34AC-4700-BED0-045D09DED0FC}"/>
  </w:font>
  <w:font w:name="仿宋_GB2312">
    <w:altName w:val="仿宋"/>
    <w:panose1 w:val="02010609030101010101"/>
    <w:charset w:val="86"/>
    <w:family w:val="modern"/>
    <w:pitch w:val="default"/>
    <w:sig w:usb0="00000000" w:usb1="00000000" w:usb2="00000000" w:usb3="00000000" w:csb0="00040000" w:csb1="00000000"/>
    <w:embedRegular r:id="rId3" w:fontKey="{A6C65519-077F-4268-BF5C-069367882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B86A">
    <w:pPr>
      <w:pStyle w:val="8"/>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DE6A">
    <w:pPr>
      <w:pStyle w:val="8"/>
      <w:framePr w:wrap="around" w:vAnchor="text" w:hAnchor="margin" w:xAlign="right" w:y="1"/>
      <w:rPr>
        <w:rStyle w:val="18"/>
        <w:rFonts w:hint="eastAsia"/>
      </w:rPr>
    </w:pPr>
    <w:r>
      <w:fldChar w:fldCharType="begin"/>
    </w:r>
    <w:r>
      <w:rPr>
        <w:rStyle w:val="18"/>
      </w:rPr>
      <w:instrText xml:space="preserve">PAGE  </w:instrText>
    </w:r>
    <w:r>
      <w:fldChar w:fldCharType="end"/>
    </w:r>
  </w:p>
  <w:p w14:paraId="37758493">
    <w:pPr>
      <w:pStyle w:val="8"/>
      <w:ind w:right="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729A">
    <w:pPr>
      <w:pStyle w:val="8"/>
      <w:jc w:val="center"/>
      <w:rPr>
        <w:rFonts w:hint="eastAsia"/>
      </w:rPr>
    </w:pPr>
    <w:r>
      <w:fldChar w:fldCharType="begin"/>
    </w:r>
    <w:r>
      <w:instrText xml:space="preserve"> PAGE   \* MERGEFORMAT </w:instrText>
    </w:r>
    <w:r>
      <w:fldChar w:fldCharType="separate"/>
    </w:r>
    <w:r>
      <w:rPr>
        <w:rFonts w:hint="eastAsia"/>
        <w:lang w:val="zh-CN"/>
      </w:rPr>
      <w:t>52</w:t>
    </w:r>
    <w:r>
      <w:rPr>
        <w:rFonts w:hint="eastAsia"/>
        <w:lang w:val="zh-CN"/>
      </w:rPr>
      <w:fldChar w:fldCharType="end"/>
    </w:r>
  </w:p>
  <w:p w14:paraId="21C5CEBF">
    <w:pPr>
      <w:pStyle w:val="8"/>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4D7FB">
    <w:pPr>
      <w:pStyle w:val="8"/>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E437A">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EEE437A">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CF8F">
    <w:pPr>
      <w:pStyle w:val="8"/>
      <w:ind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9FE6372">
                          <w:pPr>
                            <w:pStyle w:val="8"/>
                            <w:ind w:firstLine="360"/>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GfUKr1wEAALMDAAAOAAAAAAAAAAEA&#10;IAAAACIBAABkcnMvZTJvRG9jLnhtbFBLBQYAAAAABgAGAFkBAABrBQAAAAA=&#10;">
              <v:fill on="f" focussize="0,0"/>
              <v:stroke on="f" weight="1.25pt"/>
              <v:imagedata o:title=""/>
              <o:lock v:ext="edit" aspectratio="f"/>
              <v:textbox inset="0mm,0mm,0mm,0mm" style="mso-fit-shape-to-text:t;">
                <w:txbxContent>
                  <w:p w14:paraId="19FE6372">
                    <w:pPr>
                      <w:pStyle w:val="8"/>
                      <w:ind w:firstLine="36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B3F9">
    <w:pPr>
      <w:pStyle w:val="9"/>
      <w:pBdr>
        <w:bottom w:val="none" w:color="auto" w:sz="0" w:space="0"/>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160FD3"/>
    <w:rsid w:val="25E146DC"/>
    <w:rsid w:val="27CB240B"/>
    <w:rsid w:val="34B3387E"/>
    <w:rsid w:val="3E160FD3"/>
    <w:rsid w:val="49BF21A8"/>
    <w:rsid w:val="4A4660B6"/>
    <w:rsid w:val="614F0885"/>
    <w:rsid w:val="75AC39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120" w:line="412" w:lineRule="auto"/>
      <w:ind w:firstLine="200" w:firstLineChars="200"/>
      <w:outlineLvl w:val="1"/>
    </w:pPr>
    <w:rPr>
      <w:rFonts w:ascii="Cambria" w:hAnsi="Cambria" w:eastAsia="宋体" w:cs="宋体"/>
      <w:b/>
      <w:bCs/>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151"/>
    </w:pPr>
    <w:rPr>
      <w:rFonts w:ascii="宋体" w:hAnsi="宋体" w:eastAsia="宋体" w:cs="宋体"/>
      <w:sz w:val="32"/>
      <w:szCs w:val="32"/>
      <w:lang w:val="zh-CN" w:eastAsia="zh-CN" w:bidi="zh-CN"/>
    </w:rPr>
  </w:style>
  <w:style w:type="paragraph" w:styleId="6">
    <w:name w:val="List 3"/>
    <w:basedOn w:val="1"/>
    <w:next w:val="1"/>
    <w:qFormat/>
    <w:uiPriority w:val="0"/>
    <w:pPr>
      <w:spacing w:line="288" w:lineRule="auto"/>
      <w:ind w:left="1260" w:hanging="420"/>
    </w:pPr>
    <w:rPr>
      <w:rFonts w:ascii="Calibri" w:hAnsi="Calibri" w:eastAsia="仿宋" w:cs="宋体"/>
    </w:rPr>
  </w:style>
  <w:style w:type="paragraph" w:styleId="7">
    <w:name w:val="Body Text Indent"/>
    <w:basedOn w:val="1"/>
    <w:qFormat/>
    <w:uiPriority w:val="0"/>
    <w:pPr>
      <w:ind w:firstLine="640" w:firstLineChars="200"/>
    </w:pPr>
    <w:rPr>
      <w:rFonts w:eastAsia="方正仿宋_GBK"/>
      <w:kern w:val="0"/>
      <w:sz w:val="32"/>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Subtitle"/>
    <w:basedOn w:val="1"/>
    <w:next w:val="1"/>
    <w:qFormat/>
    <w:uiPriority w:val="11"/>
    <w:pPr>
      <w:ind w:firstLine="0" w:firstLineChars="0"/>
      <w:jc w:val="center"/>
    </w:pPr>
    <w:rPr>
      <w:rFonts w:eastAsia="宋体" w:cs="Times New Roman"/>
      <w:bCs/>
      <w:kern w:val="28"/>
      <w:sz w:val="21"/>
      <w:szCs w:val="32"/>
    </w:rPr>
  </w:style>
  <w:style w:type="paragraph" w:styleId="12">
    <w:name w:val="toc 2"/>
    <w:basedOn w:val="1"/>
    <w:next w:val="1"/>
    <w:qFormat/>
    <w:uiPriority w:val="0"/>
    <w:pPr>
      <w:ind w:left="420" w:leftChars="200"/>
    </w:pPr>
  </w:style>
  <w:style w:type="paragraph" w:styleId="13">
    <w:name w:val="Normal (Web)"/>
    <w:basedOn w:val="1"/>
    <w:qFormat/>
    <w:uiPriority w:val="0"/>
    <w:pPr>
      <w:widowControl/>
      <w:jc w:val="left"/>
    </w:pPr>
    <w:rPr>
      <w:rFonts w:ascii="宋体" w:hAnsi="宋体" w:cs="宋体"/>
      <w:color w:val="000000"/>
      <w:kern w:val="0"/>
      <w:sz w:val="24"/>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rPr>
  </w:style>
  <w:style w:type="character" w:styleId="18">
    <w:name w:val="page number"/>
    <w:basedOn w:val="16"/>
    <w:qFormat/>
    <w:uiPriority w:val="0"/>
  </w:style>
  <w:style w:type="paragraph" w:customStyle="1" w:styleId="19">
    <w:name w:val="Default"/>
    <w:next w:val="6"/>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20">
    <w:name w:val="List Paragraph"/>
    <w:basedOn w:val="1"/>
    <w:qFormat/>
    <w:uiPriority w:val="0"/>
    <w:pPr>
      <w:ind w:firstLine="420" w:firstLineChars="200"/>
    </w:pPr>
  </w:style>
  <w:style w:type="paragraph" w:customStyle="1" w:styleId="21">
    <w:name w:val="表格"/>
    <w:basedOn w:val="22"/>
    <w:next w:val="1"/>
    <w:qFormat/>
    <w:uiPriority w:val="0"/>
    <w:pPr>
      <w:adjustRightInd w:val="0"/>
      <w:jc w:val="center"/>
    </w:pPr>
    <w:rPr>
      <w:spacing w:val="10"/>
      <w:kern w:val="0"/>
      <w:sz w:val="20"/>
      <w:szCs w:val="20"/>
    </w:rPr>
  </w:style>
  <w:style w:type="paragraph" w:customStyle="1" w:styleId="22">
    <w:name w:val="文本"/>
    <w:basedOn w:val="1"/>
    <w:qFormat/>
    <w:uiPriority w:val="0"/>
    <w:pPr>
      <w:spacing w:line="360" w:lineRule="auto"/>
      <w:ind w:firstLine="883" w:firstLineChars="200"/>
    </w:pPr>
    <w:rPr>
      <w:rFonts w:ascii="Times New Roman" w:hAnsi="Times New Roman"/>
      <w:sz w:val="24"/>
    </w:rPr>
  </w:style>
  <w:style w:type="paragraph" w:customStyle="1" w:styleId="23">
    <w:name w:val="大纲正文"/>
    <w:basedOn w:val="1"/>
    <w:qFormat/>
    <w:uiPriority w:val="0"/>
    <w:pPr>
      <w:adjustRightInd w:val="0"/>
      <w:snapToGrid w:val="0"/>
      <w:spacing w:line="360" w:lineRule="auto"/>
      <w:ind w:firstLine="200" w:firstLineChars="200"/>
    </w:pPr>
    <w:rPr>
      <w:rFonts w:eastAsia="仿宋_GB2312"/>
      <w:kern w:val="0"/>
      <w:sz w:val="28"/>
      <w:szCs w:val="20"/>
    </w:rPr>
  </w:style>
  <w:style w:type="paragraph" w:customStyle="1" w:styleId="24">
    <w:name w:val="L表内容"/>
    <w:basedOn w:val="1"/>
    <w:qFormat/>
    <w:uiPriority w:val="0"/>
    <w:pPr>
      <w:spacing w:line="0" w:lineRule="atLeast"/>
      <w:jc w:val="center"/>
    </w:pPr>
    <w:rPr>
      <w:szCs w:val="22"/>
    </w:rPr>
  </w:style>
  <w:style w:type="paragraph" w:customStyle="1" w:styleId="25">
    <w:name w:val="_Style 2"/>
    <w:basedOn w:val="1"/>
    <w:qFormat/>
    <w:uiPriority w:val="0"/>
    <w:pPr>
      <w:spacing w:line="360" w:lineRule="auto"/>
      <w:ind w:firstLine="420" w:firstLineChars="200"/>
    </w:pPr>
    <w:rPr>
      <w:szCs w:val="21"/>
    </w:rPr>
  </w:style>
  <w:style w:type="paragraph" w:customStyle="1" w:styleId="26">
    <w:name w:val="表格 123"/>
    <w:basedOn w:val="1"/>
    <w:qFormat/>
    <w:uiPriority w:val="0"/>
    <w:pPr>
      <w:adjustRightInd w:val="0"/>
      <w:snapToGrid w:val="0"/>
      <w:spacing w:line="320" w:lineRule="exact"/>
      <w:ind w:firstLine="0" w:firstLineChars="0"/>
      <w:jc w:val="center"/>
    </w:pPr>
    <w:rPr>
      <w:sz w:val="22"/>
    </w:rPr>
  </w:style>
  <w:style w:type="paragraph" w:customStyle="1" w:styleId="27">
    <w:name w:val="Table Paragraph"/>
    <w:basedOn w:val="1"/>
    <w:qFormat/>
    <w:uiPriority w:val="1"/>
    <w:pPr>
      <w:autoSpaceDE w:val="0"/>
      <w:autoSpaceDN w:val="0"/>
      <w:jc w:val="left"/>
    </w:pPr>
    <w:rPr>
      <w:rFonts w:ascii="方正仿宋_GBK" w:hAnsi="方正仿宋_GBK" w:eastAsia="方正仿宋_GBK" w:cs="方正仿宋_GBK"/>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6.emf"/><Relationship Id="rId25" Type="http://schemas.openxmlformats.org/officeDocument/2006/relationships/image" Target="media/image15.jpeg"/><Relationship Id="rId24" Type="http://schemas.openxmlformats.org/officeDocument/2006/relationships/image" Target="file:///C:\Users\Administrator\AppData\Roaming\Tencent\Users\943309023\QQ\WinTemp\RichOle\V37(97VPS627RW8XTAT4ZND.png" TargetMode="External"/><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18872</Words>
  <Characters>19825</Characters>
  <Lines>0</Lines>
  <Paragraphs>0</Paragraphs>
  <TotalTime>0</TotalTime>
  <ScaleCrop>false</ScaleCrop>
  <LinksUpToDate>false</LinksUpToDate>
  <CharactersWithSpaces>20207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2025-10-20T06:57:00Z</dcterms:created>
  <dc:creator>153****3635</dc:creator>
  <cp:lastModifiedBy>153****3635</cp:lastModifiedBy>
  <dcterms:modified xsi:type="dcterms:W3CDTF">2025-11-03T09:00:47Z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576BDF1A19EF4F059502B3EAC9001F89_11</vt:lpwstr>
  </property>
  <property fmtid="{D5CDD505-2E9C-101B-9397-08002B2CF9AE}" pid="4" name="KSOTemplateDocerSaveRecord">
    <vt:lpwstr>eyJoZGlkIjoiNDJlZGQ3NmFiOTcyMGU4MmZlMjk5ZTNkYzc4Zjc3N2QiLCJ1c2VySWQiOiIxNDM5MzAxNTU3In0=</vt:lpwstr>
  </property>
</Properties>
</file>