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2AF3E">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p>
    <w:p w14:paraId="50F54847">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p>
    <w:p w14:paraId="59A17E29">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lang w:val="en-US" w:eastAsia="zh-CN"/>
        </w:rPr>
      </w:pPr>
      <w:r>
        <w:rPr>
          <w:rFonts w:hint="eastAsia" w:asciiTheme="minorEastAsia" w:hAnsiTheme="minorEastAsia" w:eastAsiaTheme="minorEastAsia" w:cstheme="minorEastAsia"/>
          <w:b/>
          <w:bCs/>
          <w:sz w:val="52"/>
          <w:szCs w:val="52"/>
          <w:lang w:val="en-US" w:eastAsia="zh-CN"/>
        </w:rPr>
        <w:t>重庆市开州区白鹤街道饮用水水源地</w:t>
      </w:r>
    </w:p>
    <w:p w14:paraId="1606AB56">
      <w:pPr>
        <w:keepNext/>
        <w:keepLines/>
        <w:pageBreakBefore w:val="0"/>
        <w:widowControl w:val="0"/>
        <w:kinsoku/>
        <w:wordWrap/>
        <w:overflowPunct/>
        <w:topLinePunct w:val="0"/>
        <w:autoSpaceDE/>
        <w:autoSpaceDN/>
        <w:bidi w:val="0"/>
        <w:adjustRightInd/>
        <w:snapToGrid/>
        <w:spacing w:before="0" w:after="0" w:line="360" w:lineRule="auto"/>
        <w:ind w:left="0" w:leftChars="0"/>
        <w:jc w:val="center"/>
        <w:textAlignment w:val="auto"/>
        <w:outlineLvl w:val="9"/>
        <w:rPr>
          <w:rFonts w:hint="eastAsia" w:asciiTheme="minorEastAsia" w:hAnsiTheme="minorEastAsia" w:eastAsiaTheme="minorEastAsia" w:cstheme="minorEastAsia"/>
          <w:b/>
          <w:bCs/>
          <w:sz w:val="52"/>
          <w:szCs w:val="52"/>
        </w:rPr>
      </w:pPr>
      <w:r>
        <w:rPr>
          <w:rFonts w:hint="eastAsia" w:asciiTheme="minorEastAsia" w:hAnsiTheme="minorEastAsia" w:eastAsiaTheme="minorEastAsia" w:cstheme="minorEastAsia"/>
          <w:b/>
          <w:bCs/>
          <w:sz w:val="52"/>
          <w:szCs w:val="52"/>
        </w:rPr>
        <w:t>突发环境事件应急预案</w:t>
      </w:r>
    </w:p>
    <w:p w14:paraId="231CDBD2">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244AB6C8">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671CE366">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38ADE974">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6B3C09F">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2B8A2367">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 xml:space="preserve">                预案编号：</w:t>
      </w:r>
      <w:r>
        <w:rPr>
          <w:rFonts w:hint="eastAsia" w:asciiTheme="minorEastAsia" w:hAnsiTheme="minorEastAsia" w:eastAsiaTheme="minorEastAsia" w:cstheme="minorEastAsia"/>
          <w:sz w:val="28"/>
          <w:szCs w:val="28"/>
          <w:lang w:val="en-US" w:eastAsia="zh-CN"/>
        </w:rPr>
        <w:t xml:space="preserve">BHJDYYSYD 2025-1 </w:t>
      </w:r>
    </w:p>
    <w:p w14:paraId="1A66CD0A">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版 本 号：</w:t>
      </w:r>
      <w:r>
        <w:rPr>
          <w:rFonts w:hint="eastAsia" w:asciiTheme="minorEastAsia" w:hAnsiTheme="minorEastAsia" w:eastAsiaTheme="minorEastAsia" w:cstheme="minorEastAsia"/>
          <w:sz w:val="28"/>
          <w:szCs w:val="28"/>
          <w:lang w:val="en-US" w:eastAsia="zh-CN"/>
        </w:rPr>
        <w:t>2025-1</w:t>
      </w:r>
      <w:r>
        <w:rPr>
          <w:rFonts w:hint="eastAsia" w:asciiTheme="minorEastAsia" w:hAnsiTheme="minorEastAsia" w:eastAsiaTheme="minorEastAsia" w:cstheme="minorEastAsia"/>
          <w:sz w:val="28"/>
          <w:szCs w:val="28"/>
        </w:rPr>
        <w:t xml:space="preserve">  </w:t>
      </w:r>
    </w:p>
    <w:p w14:paraId="57DC8102">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 xml:space="preserve"> 颁布日期：</w:t>
      </w:r>
      <w:r>
        <w:rPr>
          <w:rFonts w:hint="eastAsia" w:asciiTheme="minorEastAsia" w:hAnsiTheme="minorEastAsia" w:eastAsiaTheme="minorEastAsia" w:cstheme="minorEastAsia"/>
          <w:sz w:val="28"/>
          <w:szCs w:val="28"/>
          <w:lang w:val="en-US" w:eastAsia="zh-CN"/>
        </w:rPr>
        <w:t xml:space="preserve">2025年10月  </w:t>
      </w:r>
      <w:r>
        <w:rPr>
          <w:rFonts w:hint="eastAsia" w:asciiTheme="minorEastAsia" w:hAnsiTheme="minorEastAsia" w:eastAsiaTheme="minorEastAsia" w:cstheme="minorEastAsia"/>
          <w:sz w:val="28"/>
          <w:szCs w:val="28"/>
        </w:rPr>
        <w:t xml:space="preserve">  </w:t>
      </w:r>
    </w:p>
    <w:p w14:paraId="320A05B7">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F353913">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0181C76F">
      <w:pPr>
        <w:pStyle w:val="2"/>
        <w:pageBreakBefore w:val="0"/>
        <w:widowControl w:val="0"/>
        <w:kinsoku/>
        <w:wordWrap/>
        <w:overflowPunct/>
        <w:topLinePunct w:val="0"/>
        <w:autoSpaceDE/>
        <w:autoSpaceDN/>
        <w:bidi w:val="0"/>
        <w:adjustRightInd/>
        <w:snapToGrid/>
        <w:spacing w:line="360" w:lineRule="auto"/>
        <w:ind w:left="0" w:leftChars="0"/>
        <w:textAlignment w:val="auto"/>
        <w:outlineLvl w:val="9"/>
        <w:rPr>
          <w:rFonts w:hint="eastAsia" w:asciiTheme="minorEastAsia" w:hAnsiTheme="minorEastAsia" w:eastAsiaTheme="minorEastAsia" w:cstheme="minorEastAsia"/>
          <w:sz w:val="28"/>
          <w:szCs w:val="28"/>
        </w:rPr>
      </w:pPr>
    </w:p>
    <w:p w14:paraId="4E805E2F">
      <w:pPr>
        <w:pStyle w:val="2"/>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eastAsia="zh-CN"/>
        </w:rPr>
        <w:t>重庆市开州区人民政府白鹤街道办事处</w:t>
      </w:r>
    </w:p>
    <w:p w14:paraId="7120B30E">
      <w:pPr>
        <w:pStyle w:val="2"/>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val="en-US" w:eastAsia="zh-CN"/>
        </w:rPr>
        <w:t>2025</w:t>
      </w:r>
      <w:r>
        <w:rPr>
          <w:rFonts w:hint="eastAsia" w:asciiTheme="minorEastAsia" w:hAnsiTheme="minorEastAsia" w:eastAsiaTheme="minorEastAsia" w:cstheme="minorEastAsia"/>
          <w:b/>
          <w:bCs/>
          <w:sz w:val="32"/>
          <w:szCs w:val="32"/>
        </w:rPr>
        <w:t>年</w:t>
      </w:r>
      <w:r>
        <w:rPr>
          <w:rFonts w:hint="eastAsia" w:asciiTheme="minorEastAsia" w:hAnsiTheme="minorEastAsia" w:eastAsiaTheme="minorEastAsia" w:cstheme="minorEastAsia"/>
          <w:b/>
          <w:bCs/>
          <w:sz w:val="32"/>
          <w:szCs w:val="32"/>
          <w:lang w:val="en-US" w:eastAsia="zh-CN"/>
        </w:rPr>
        <w:t>10</w:t>
      </w:r>
      <w:r>
        <w:rPr>
          <w:rFonts w:hint="eastAsia" w:asciiTheme="minorEastAsia" w:hAnsiTheme="minorEastAsia" w:eastAsiaTheme="minorEastAsia" w:cstheme="minorEastAsia"/>
          <w:b/>
          <w:bCs/>
          <w:sz w:val="32"/>
          <w:szCs w:val="32"/>
        </w:rPr>
        <w:t>月</w:t>
      </w:r>
    </w:p>
    <w:p w14:paraId="6D0651AF">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p w14:paraId="7DD5BFA7">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br w:type="page"/>
      </w:r>
    </w:p>
    <w:sdt>
      <w:sdtPr>
        <w:rPr>
          <w:rFonts w:ascii="宋体" w:hAnsi="宋体" w:eastAsia="宋体" w:cs="Times New Roman"/>
          <w:kern w:val="2"/>
          <w:sz w:val="21"/>
          <w:szCs w:val="21"/>
          <w:lang w:val="en-US" w:eastAsia="zh-CN" w:bidi="ar-SA"/>
        </w:rPr>
        <w:id w:val="147471964"/>
        <w15:color w:val="DBDBDB"/>
        <w:docPartObj>
          <w:docPartGallery w:val="Table of Contents"/>
          <w:docPartUnique/>
        </w:docPartObj>
      </w:sdtPr>
      <w:sdtEndPr>
        <w:rPr>
          <w:rFonts w:hint="eastAsia" w:asciiTheme="minorEastAsia" w:hAnsiTheme="minorEastAsia" w:eastAsiaTheme="minorEastAsia" w:cstheme="minorEastAsia"/>
          <w:b/>
          <w:bCs/>
          <w:kern w:val="2"/>
          <w:sz w:val="32"/>
          <w:szCs w:val="32"/>
          <w:lang w:val="zh-CN" w:eastAsia="zh-CN" w:bidi="zh-CN"/>
        </w:rPr>
      </w:sdtEndPr>
      <w:sdtContent>
        <w:p w14:paraId="466BD759">
          <w:pPr>
            <w:spacing w:before="0" w:beforeLines="0" w:after="0" w:afterLines="0" w:line="240" w:lineRule="auto"/>
            <w:ind w:left="0" w:leftChars="0" w:right="0" w:rightChars="0" w:firstLine="0" w:firstLineChars="0"/>
            <w:jc w:val="center"/>
          </w:pPr>
          <w:r>
            <w:rPr>
              <w:rFonts w:ascii="宋体" w:hAnsi="宋体" w:eastAsia="宋体"/>
              <w:sz w:val="21"/>
            </w:rPr>
            <w:t>目录</w:t>
          </w:r>
        </w:p>
        <w:p w14:paraId="5D8CFE37">
          <w:pPr>
            <w:pStyle w:val="12"/>
            <w:tabs>
              <w:tab w:val="right" w:leader="dot" w:pos="9026"/>
            </w:tabs>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TOC \o "1-2" \h \u </w:instrText>
          </w:r>
          <w:r>
            <w:rPr>
              <w:rFonts w:hint="eastAsia" w:asciiTheme="minorEastAsia" w:hAnsiTheme="minorEastAsia" w:eastAsiaTheme="minorEastAsia" w:cstheme="minorEastAsia"/>
              <w:b/>
              <w:bCs/>
              <w:sz w:val="32"/>
              <w:szCs w:val="32"/>
            </w:rPr>
            <w:fldChar w:fldCharType="separate"/>
          </w: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_Toc23319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1总则</w:t>
          </w:r>
          <w:r>
            <w:tab/>
          </w:r>
          <w:r>
            <w:fldChar w:fldCharType="begin"/>
          </w:r>
          <w:r>
            <w:instrText xml:space="preserve"> PAGEREF _Toc23319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15EE62A5">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_Toc24517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1.1</w:t>
          </w:r>
          <w:r>
            <w:rPr>
              <w:rFonts w:hint="eastAsia" w:ascii="宋体" w:hAnsi="宋体" w:cs="宋体"/>
              <w:bCs/>
              <w:szCs w:val="28"/>
              <w:lang w:val="en-US" w:eastAsia="zh-CN"/>
            </w:rPr>
            <w:t xml:space="preserve"> </w:t>
          </w:r>
          <w:r>
            <w:rPr>
              <w:rFonts w:hint="eastAsia" w:ascii="宋体" w:hAnsi="宋体" w:eastAsia="宋体" w:cs="宋体"/>
              <w:bCs/>
              <w:szCs w:val="28"/>
            </w:rPr>
            <w:t>编制目的</w:t>
          </w:r>
          <w:r>
            <w:tab/>
          </w:r>
          <w:r>
            <w:fldChar w:fldCharType="begin"/>
          </w:r>
          <w:r>
            <w:instrText xml:space="preserve"> PAGEREF _Toc24517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2ECE2F44">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_Toc16888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1.2</w:t>
          </w:r>
          <w:r>
            <w:rPr>
              <w:rFonts w:hint="eastAsia" w:ascii="宋体" w:hAnsi="宋体" w:eastAsia="宋体" w:cs="宋体"/>
              <w:bCs/>
              <w:szCs w:val="28"/>
              <w:lang w:val="en-US" w:eastAsia="zh-CN"/>
            </w:rPr>
            <w:t xml:space="preserve"> </w:t>
          </w:r>
          <w:r>
            <w:rPr>
              <w:rFonts w:hint="eastAsia" w:ascii="宋体" w:hAnsi="宋体" w:eastAsia="宋体" w:cs="宋体"/>
              <w:bCs/>
              <w:szCs w:val="28"/>
            </w:rPr>
            <w:t>适用范围</w:t>
          </w:r>
          <w:r>
            <w:tab/>
          </w:r>
          <w:r>
            <w:fldChar w:fldCharType="begin"/>
          </w:r>
          <w:r>
            <w:instrText xml:space="preserve"> PAGEREF _Toc16888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7F365E06">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_Toc24407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1.3</w:t>
          </w:r>
          <w:r>
            <w:rPr>
              <w:rFonts w:hint="eastAsia" w:ascii="宋体" w:hAnsi="宋体" w:eastAsia="宋体" w:cs="宋体"/>
              <w:bCs/>
              <w:szCs w:val="28"/>
              <w:lang w:val="en-US" w:eastAsia="zh-CN"/>
            </w:rPr>
            <w:t xml:space="preserve"> </w:t>
          </w:r>
          <w:r>
            <w:rPr>
              <w:rFonts w:hint="eastAsia" w:ascii="宋体" w:hAnsi="宋体" w:eastAsia="宋体" w:cs="宋体"/>
              <w:bCs/>
              <w:szCs w:val="28"/>
            </w:rPr>
            <w:t>编制依据</w:t>
          </w:r>
          <w:r>
            <w:tab/>
          </w:r>
          <w:r>
            <w:fldChar w:fldCharType="begin"/>
          </w:r>
          <w:r>
            <w:instrText xml:space="preserve"> PAGEREF _Toc24407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38B140D9">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_Toc15682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rPr>
            <w:t>1.</w:t>
          </w:r>
          <w:r>
            <w:rPr>
              <w:rFonts w:hint="eastAsia" w:ascii="宋体" w:hAnsi="宋体" w:eastAsia="宋体" w:cs="宋体"/>
              <w:bCs/>
              <w:szCs w:val="28"/>
              <w:lang w:val="en-US" w:eastAsia="zh-CN"/>
            </w:rPr>
            <w:t xml:space="preserve">4 </w:t>
          </w:r>
          <w:r>
            <w:rPr>
              <w:rFonts w:hint="eastAsia" w:ascii="宋体" w:hAnsi="宋体" w:eastAsia="宋体" w:cs="宋体"/>
              <w:bCs/>
              <w:szCs w:val="28"/>
            </w:rPr>
            <w:t>工作原则</w:t>
          </w:r>
          <w:r>
            <w:tab/>
          </w:r>
          <w:r>
            <w:fldChar w:fldCharType="begin"/>
          </w:r>
          <w:r>
            <w:instrText xml:space="preserve"> PAGEREF _Toc15682 \h </w:instrText>
          </w:r>
          <w:r>
            <w:fldChar w:fldCharType="separate"/>
          </w:r>
          <w:r>
            <w:t>3</w:t>
          </w:r>
          <w:r>
            <w:fldChar w:fldCharType="end"/>
          </w:r>
          <w:r>
            <w:rPr>
              <w:rFonts w:hint="eastAsia" w:asciiTheme="minorEastAsia" w:hAnsiTheme="minorEastAsia" w:eastAsiaTheme="minorEastAsia" w:cstheme="minorEastAsia"/>
              <w:bCs/>
              <w:szCs w:val="32"/>
            </w:rPr>
            <w:fldChar w:fldCharType="end"/>
          </w:r>
        </w:p>
        <w:p w14:paraId="587A9781">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_Toc15256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zh-CN"/>
            </w:rPr>
            <w:t>1.</w:t>
          </w:r>
          <w:r>
            <w:rPr>
              <w:rFonts w:hint="eastAsia" w:ascii="宋体" w:hAnsi="宋体" w:eastAsia="宋体" w:cs="宋体"/>
              <w:bCs/>
              <w:szCs w:val="28"/>
              <w:lang w:val="en-US" w:eastAsia="zh-CN"/>
            </w:rPr>
            <w:t xml:space="preserve">5 </w:t>
          </w:r>
          <w:r>
            <w:rPr>
              <w:rFonts w:hint="eastAsia" w:ascii="宋体" w:hAnsi="宋体" w:eastAsia="宋体" w:cs="宋体"/>
              <w:bCs/>
              <w:szCs w:val="28"/>
              <w:lang w:val="zh-CN"/>
            </w:rPr>
            <w:t>应急预案体系</w:t>
          </w:r>
          <w:r>
            <w:tab/>
          </w:r>
          <w:r>
            <w:fldChar w:fldCharType="begin"/>
          </w:r>
          <w:r>
            <w:instrText xml:space="preserve"> PAGEREF _Toc15256 \h </w:instrText>
          </w:r>
          <w:r>
            <w:fldChar w:fldCharType="separate"/>
          </w:r>
          <w:r>
            <w:t>4</w:t>
          </w:r>
          <w:r>
            <w:fldChar w:fldCharType="end"/>
          </w:r>
          <w:r>
            <w:rPr>
              <w:rFonts w:hint="eastAsia" w:asciiTheme="minorEastAsia" w:hAnsiTheme="minorEastAsia" w:eastAsiaTheme="minorEastAsia" w:cstheme="minorEastAsia"/>
              <w:bCs/>
              <w:szCs w:val="32"/>
            </w:rPr>
            <w:fldChar w:fldCharType="end"/>
          </w:r>
        </w:p>
        <w:p w14:paraId="51AD73FA">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_Toc2501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1.6 事件分级</w:t>
          </w:r>
          <w:r>
            <w:tab/>
          </w:r>
          <w:r>
            <w:fldChar w:fldCharType="begin"/>
          </w:r>
          <w:r>
            <w:instrText xml:space="preserve"> PAGEREF _Toc2501 \h </w:instrText>
          </w:r>
          <w:r>
            <w:fldChar w:fldCharType="separate"/>
          </w:r>
          <w:r>
            <w:t>4</w:t>
          </w:r>
          <w:r>
            <w:fldChar w:fldCharType="end"/>
          </w:r>
          <w:r>
            <w:rPr>
              <w:rFonts w:hint="eastAsia" w:asciiTheme="minorEastAsia" w:hAnsiTheme="minorEastAsia" w:eastAsiaTheme="minorEastAsia" w:cstheme="minorEastAsia"/>
              <w:bCs/>
              <w:szCs w:val="32"/>
            </w:rPr>
            <w:fldChar w:fldCharType="end"/>
          </w:r>
        </w:p>
        <w:p w14:paraId="1A62CE80">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_Toc20322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 xml:space="preserve">2 </w:t>
          </w:r>
          <w:r>
            <w:rPr>
              <w:rFonts w:hint="eastAsia" w:ascii="宋体" w:hAnsi="宋体" w:cs="宋体"/>
              <w:bCs/>
              <w:kern w:val="2"/>
              <w:szCs w:val="32"/>
              <w:lang w:val="en-US" w:eastAsia="zh-CN" w:bidi="ar-SA"/>
            </w:rPr>
            <w:t>重庆市开州区白鹤街道饮用水水源地</w:t>
          </w:r>
          <w:r>
            <w:rPr>
              <w:rFonts w:hint="eastAsia" w:ascii="宋体" w:hAnsi="宋体" w:eastAsia="宋体" w:cs="宋体"/>
              <w:bCs/>
              <w:kern w:val="2"/>
              <w:szCs w:val="32"/>
              <w:lang w:val="en-US" w:eastAsia="zh-CN" w:bidi="ar-SA"/>
            </w:rPr>
            <w:t>基础信息</w:t>
          </w:r>
          <w:r>
            <w:tab/>
          </w:r>
          <w:r>
            <w:fldChar w:fldCharType="begin"/>
          </w:r>
          <w:r>
            <w:instrText xml:space="preserve"> PAGEREF _Toc20322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5AFBAC6C">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_Toc2834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 xml:space="preserve">2.1 </w:t>
          </w:r>
          <w:r>
            <w:rPr>
              <w:rFonts w:hint="eastAsia" w:ascii="宋体" w:hAnsi="宋体" w:cs="宋体"/>
              <w:bCs/>
              <w:szCs w:val="28"/>
              <w:lang w:val="en-US" w:eastAsia="zh-CN"/>
            </w:rPr>
            <w:t>重庆市开州区白鹤街道饮用水水源地</w:t>
          </w:r>
          <w:r>
            <w:rPr>
              <w:rFonts w:hint="eastAsia" w:ascii="宋体" w:hAnsi="宋体" w:eastAsia="宋体" w:cs="宋体"/>
              <w:bCs/>
              <w:szCs w:val="28"/>
              <w:lang w:val="en-US" w:eastAsia="zh-CN"/>
            </w:rPr>
            <w:t>基础信息</w:t>
          </w:r>
          <w:r>
            <w:tab/>
          </w:r>
          <w:r>
            <w:fldChar w:fldCharType="begin"/>
          </w:r>
          <w:r>
            <w:instrText xml:space="preserve"> PAGEREF _Toc2834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0C005265">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_Toc7065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2.2 饮用水源地保护区划分情况简介</w:t>
          </w:r>
          <w:r>
            <w:tab/>
          </w:r>
          <w:r>
            <w:fldChar w:fldCharType="begin"/>
          </w:r>
          <w:r>
            <w:instrText xml:space="preserve"> PAGEREF _Toc7065 \h </w:instrText>
          </w:r>
          <w:r>
            <w:fldChar w:fldCharType="separate"/>
          </w:r>
          <w:r>
            <w:t>1</w:t>
          </w:r>
          <w:r>
            <w:fldChar w:fldCharType="end"/>
          </w:r>
          <w:r>
            <w:rPr>
              <w:rFonts w:hint="eastAsia" w:asciiTheme="minorEastAsia" w:hAnsiTheme="minorEastAsia" w:eastAsiaTheme="minorEastAsia" w:cstheme="minorEastAsia"/>
              <w:bCs/>
              <w:szCs w:val="32"/>
            </w:rPr>
            <w:fldChar w:fldCharType="end"/>
          </w:r>
        </w:p>
        <w:p w14:paraId="03779FDC">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_Toc9137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2.3 饮用水水源地规范化建设现状调查</w:t>
          </w:r>
          <w:r>
            <w:tab/>
          </w:r>
          <w:r>
            <w:fldChar w:fldCharType="begin"/>
          </w:r>
          <w:r>
            <w:instrText xml:space="preserve"> PAGEREF _Toc9137 \h </w:instrText>
          </w:r>
          <w:r>
            <w:fldChar w:fldCharType="separate"/>
          </w:r>
          <w:r>
            <w:t>2</w:t>
          </w:r>
          <w:r>
            <w:fldChar w:fldCharType="end"/>
          </w:r>
          <w:r>
            <w:rPr>
              <w:rFonts w:hint="eastAsia" w:asciiTheme="minorEastAsia" w:hAnsiTheme="minorEastAsia" w:eastAsiaTheme="minorEastAsia" w:cstheme="minorEastAsia"/>
              <w:bCs/>
              <w:szCs w:val="32"/>
            </w:rPr>
            <w:fldChar w:fldCharType="end"/>
          </w:r>
        </w:p>
        <w:p w14:paraId="07445581">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_Toc4369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2.4 水源地环境风险</w:t>
          </w:r>
          <w:r>
            <w:tab/>
          </w:r>
          <w:r>
            <w:fldChar w:fldCharType="begin"/>
          </w:r>
          <w:r>
            <w:instrText xml:space="preserve"> PAGEREF _Toc4369 \h </w:instrText>
          </w:r>
          <w:r>
            <w:fldChar w:fldCharType="separate"/>
          </w:r>
          <w:r>
            <w:t>6</w:t>
          </w:r>
          <w:r>
            <w:fldChar w:fldCharType="end"/>
          </w:r>
          <w:r>
            <w:rPr>
              <w:rFonts w:hint="eastAsia" w:asciiTheme="minorEastAsia" w:hAnsiTheme="minorEastAsia" w:eastAsiaTheme="minorEastAsia" w:cstheme="minorEastAsia"/>
              <w:bCs/>
              <w:szCs w:val="32"/>
            </w:rPr>
            <w:fldChar w:fldCharType="end"/>
          </w:r>
        </w:p>
        <w:p w14:paraId="5F002B53">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_Toc24550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 应急组织机构体系及职责</w:t>
          </w:r>
          <w:r>
            <w:tab/>
          </w:r>
          <w:r>
            <w:fldChar w:fldCharType="begin"/>
          </w:r>
          <w:r>
            <w:instrText xml:space="preserve"> PAGEREF _Toc24550 \h </w:instrText>
          </w:r>
          <w:r>
            <w:fldChar w:fldCharType="separate"/>
          </w:r>
          <w:r>
            <w:t>9</w:t>
          </w:r>
          <w:r>
            <w:fldChar w:fldCharType="end"/>
          </w:r>
          <w:r>
            <w:rPr>
              <w:rFonts w:hint="eastAsia" w:asciiTheme="minorEastAsia" w:hAnsiTheme="minorEastAsia" w:eastAsiaTheme="minorEastAsia" w:cstheme="minorEastAsia"/>
              <w:bCs/>
              <w:szCs w:val="32"/>
            </w:rPr>
            <w:fldChar w:fldCharType="end"/>
          </w:r>
        </w:p>
        <w:p w14:paraId="7AAE1367">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_Toc30394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3.1 应急组织机构</w:t>
          </w:r>
          <w:r>
            <w:tab/>
          </w:r>
          <w:r>
            <w:fldChar w:fldCharType="begin"/>
          </w:r>
          <w:r>
            <w:instrText xml:space="preserve"> PAGEREF _Toc30394 \h </w:instrText>
          </w:r>
          <w:r>
            <w:fldChar w:fldCharType="separate"/>
          </w:r>
          <w:r>
            <w:t>9</w:t>
          </w:r>
          <w:r>
            <w:fldChar w:fldCharType="end"/>
          </w:r>
          <w:r>
            <w:rPr>
              <w:rFonts w:hint="eastAsia" w:asciiTheme="minorEastAsia" w:hAnsiTheme="minorEastAsia" w:eastAsiaTheme="minorEastAsia" w:cstheme="minorEastAsia"/>
              <w:bCs/>
              <w:szCs w:val="32"/>
            </w:rPr>
            <w:fldChar w:fldCharType="end"/>
          </w:r>
        </w:p>
        <w:p w14:paraId="174E2735">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_Toc4021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kern w:val="2"/>
              <w:szCs w:val="32"/>
              <w:lang w:val="en-US" w:eastAsia="zh-CN" w:bidi="ar-SA"/>
            </w:rPr>
            <w:t>3.2 应急工作机构及职责</w:t>
          </w:r>
          <w:r>
            <w:tab/>
          </w:r>
          <w:r>
            <w:fldChar w:fldCharType="begin"/>
          </w:r>
          <w:r>
            <w:instrText xml:space="preserve"> PAGEREF _Toc4021 \h </w:instrText>
          </w:r>
          <w:r>
            <w:fldChar w:fldCharType="separate"/>
          </w:r>
          <w:r>
            <w:t>9</w:t>
          </w:r>
          <w:r>
            <w:fldChar w:fldCharType="end"/>
          </w:r>
          <w:r>
            <w:rPr>
              <w:rFonts w:hint="eastAsia" w:asciiTheme="minorEastAsia" w:hAnsiTheme="minorEastAsia" w:eastAsiaTheme="minorEastAsia" w:cstheme="minorEastAsia"/>
              <w:bCs/>
              <w:szCs w:val="32"/>
            </w:rPr>
            <w:fldChar w:fldCharType="end"/>
          </w:r>
        </w:p>
        <w:p w14:paraId="7DBE9C28">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_Toc13839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32"/>
              <w:lang w:val="en-US" w:eastAsia="zh-CN"/>
            </w:rPr>
            <w:t>4</w:t>
          </w:r>
          <w:r>
            <w:rPr>
              <w:rFonts w:hint="eastAsia" w:ascii="宋体" w:hAnsi="宋体" w:cs="宋体"/>
              <w:bCs/>
              <w:szCs w:val="32"/>
              <w:lang w:val="en-US" w:eastAsia="zh-CN"/>
            </w:rPr>
            <w:t xml:space="preserve"> </w:t>
          </w:r>
          <w:r>
            <w:rPr>
              <w:rFonts w:hint="eastAsia" w:cs="宋体"/>
              <w:bCs/>
              <w:szCs w:val="32"/>
              <w:lang w:val="en-US" w:eastAsia="zh-CN"/>
            </w:rPr>
            <w:t>应急响应</w:t>
          </w:r>
          <w:r>
            <w:tab/>
          </w:r>
          <w:r>
            <w:fldChar w:fldCharType="begin"/>
          </w:r>
          <w:r>
            <w:instrText xml:space="preserve"> PAGEREF _Toc13839 \h </w:instrText>
          </w:r>
          <w:r>
            <w:fldChar w:fldCharType="separate"/>
          </w:r>
          <w:r>
            <w:t>14</w:t>
          </w:r>
          <w:r>
            <w:fldChar w:fldCharType="end"/>
          </w:r>
          <w:r>
            <w:rPr>
              <w:rFonts w:hint="eastAsia" w:asciiTheme="minorEastAsia" w:hAnsiTheme="minorEastAsia" w:eastAsiaTheme="minorEastAsia" w:cstheme="minorEastAsia"/>
              <w:bCs/>
              <w:szCs w:val="32"/>
            </w:rPr>
            <w:fldChar w:fldCharType="end"/>
          </w:r>
        </w:p>
        <w:p w14:paraId="01884193">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_Toc4623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4</w:t>
          </w:r>
          <w:r>
            <w:rPr>
              <w:rFonts w:hint="eastAsia" w:ascii="宋体" w:hAnsi="宋体" w:eastAsia="宋体" w:cs="宋体"/>
              <w:bCs/>
              <w:szCs w:val="28"/>
              <w:lang w:val="en-US" w:eastAsia="zh-CN"/>
            </w:rPr>
            <w:t>.1</w:t>
          </w:r>
          <w:r>
            <w:rPr>
              <w:rFonts w:hint="eastAsia" w:ascii="宋体" w:hAnsi="宋体" w:cs="宋体"/>
              <w:bCs/>
              <w:szCs w:val="28"/>
              <w:lang w:val="en-US" w:eastAsia="zh-CN"/>
            </w:rPr>
            <w:t xml:space="preserve"> </w:t>
          </w:r>
          <w:r>
            <w:rPr>
              <w:rFonts w:hint="eastAsia" w:ascii="宋体" w:hAnsi="宋体" w:eastAsia="宋体" w:cs="宋体"/>
              <w:bCs/>
              <w:szCs w:val="28"/>
              <w:lang w:val="en-US" w:eastAsia="zh-CN"/>
            </w:rPr>
            <w:t>信息收集与研判</w:t>
          </w:r>
          <w:r>
            <w:tab/>
          </w:r>
          <w:r>
            <w:fldChar w:fldCharType="begin"/>
          </w:r>
          <w:r>
            <w:instrText xml:space="preserve"> PAGEREF _Toc4623 \h </w:instrText>
          </w:r>
          <w:r>
            <w:fldChar w:fldCharType="separate"/>
          </w:r>
          <w:r>
            <w:t>15</w:t>
          </w:r>
          <w:r>
            <w:fldChar w:fldCharType="end"/>
          </w:r>
          <w:r>
            <w:rPr>
              <w:rFonts w:hint="eastAsia" w:asciiTheme="minorEastAsia" w:hAnsiTheme="minorEastAsia" w:eastAsiaTheme="minorEastAsia" w:cstheme="minorEastAsia"/>
              <w:bCs/>
              <w:szCs w:val="32"/>
            </w:rPr>
            <w:fldChar w:fldCharType="end"/>
          </w:r>
        </w:p>
        <w:p w14:paraId="4B207E4B">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_Toc26651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w:t>
          </w:r>
          <w:r>
            <w:rPr>
              <w:rFonts w:hint="eastAsia" w:ascii="宋体" w:hAnsi="宋体" w:cs="宋体"/>
              <w:bCs/>
              <w:szCs w:val="28"/>
              <w:lang w:val="en-US" w:eastAsia="zh-CN"/>
            </w:rPr>
            <w:t>2</w:t>
          </w:r>
          <w:r>
            <w:rPr>
              <w:rFonts w:hint="eastAsia" w:ascii="宋体" w:hAnsi="宋体" w:eastAsia="宋体" w:cs="宋体"/>
              <w:bCs/>
              <w:szCs w:val="28"/>
              <w:lang w:val="en-US" w:eastAsia="zh-CN"/>
            </w:rPr>
            <w:t xml:space="preserve"> 预警</w:t>
          </w:r>
          <w:r>
            <w:tab/>
          </w:r>
          <w:r>
            <w:fldChar w:fldCharType="begin"/>
          </w:r>
          <w:r>
            <w:instrText xml:space="preserve"> PAGEREF _Toc26651 \h </w:instrText>
          </w:r>
          <w:r>
            <w:fldChar w:fldCharType="separate"/>
          </w:r>
          <w:r>
            <w:t>15</w:t>
          </w:r>
          <w:r>
            <w:fldChar w:fldCharType="end"/>
          </w:r>
          <w:r>
            <w:rPr>
              <w:rFonts w:hint="eastAsia" w:asciiTheme="minorEastAsia" w:hAnsiTheme="minorEastAsia" w:eastAsiaTheme="minorEastAsia" w:cstheme="minorEastAsia"/>
              <w:bCs/>
              <w:szCs w:val="32"/>
            </w:rPr>
            <w:fldChar w:fldCharType="end"/>
          </w:r>
        </w:p>
        <w:p w14:paraId="7FE0DA34">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_Toc25155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w:t>
          </w:r>
          <w:r>
            <w:rPr>
              <w:rFonts w:hint="eastAsia" w:ascii="宋体" w:hAnsi="宋体" w:cs="宋体"/>
              <w:bCs/>
              <w:szCs w:val="28"/>
              <w:lang w:val="en-US" w:eastAsia="zh-CN"/>
            </w:rPr>
            <w:t>3</w:t>
          </w:r>
          <w:r>
            <w:rPr>
              <w:rFonts w:hint="eastAsia" w:ascii="宋体" w:hAnsi="宋体" w:eastAsia="宋体" w:cs="宋体"/>
              <w:bCs/>
              <w:szCs w:val="28"/>
              <w:lang w:val="en-US" w:eastAsia="zh-CN"/>
            </w:rPr>
            <w:t xml:space="preserve"> 信息报告与通报</w:t>
          </w:r>
          <w:r>
            <w:tab/>
          </w:r>
          <w:r>
            <w:fldChar w:fldCharType="begin"/>
          </w:r>
          <w:r>
            <w:instrText xml:space="preserve"> PAGEREF _Toc25155 \h </w:instrText>
          </w:r>
          <w:r>
            <w:fldChar w:fldCharType="separate"/>
          </w:r>
          <w:r>
            <w:t>19</w:t>
          </w:r>
          <w:r>
            <w:fldChar w:fldCharType="end"/>
          </w:r>
          <w:r>
            <w:rPr>
              <w:rFonts w:hint="eastAsia" w:asciiTheme="minorEastAsia" w:hAnsiTheme="minorEastAsia" w:eastAsiaTheme="minorEastAsia" w:cstheme="minorEastAsia"/>
              <w:bCs/>
              <w:szCs w:val="32"/>
            </w:rPr>
            <w:fldChar w:fldCharType="end"/>
          </w:r>
        </w:p>
        <w:p w14:paraId="30C90122">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_Toc3988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4.4 事态跟踪研判</w:t>
          </w:r>
          <w:r>
            <w:tab/>
          </w:r>
          <w:r>
            <w:fldChar w:fldCharType="begin"/>
          </w:r>
          <w:r>
            <w:instrText xml:space="preserve"> PAGEREF _Toc3988 \h </w:instrText>
          </w:r>
          <w:r>
            <w:fldChar w:fldCharType="separate"/>
          </w:r>
          <w:r>
            <w:t>20</w:t>
          </w:r>
          <w:r>
            <w:fldChar w:fldCharType="end"/>
          </w:r>
          <w:r>
            <w:rPr>
              <w:rFonts w:hint="eastAsia" w:asciiTheme="minorEastAsia" w:hAnsiTheme="minorEastAsia" w:eastAsiaTheme="minorEastAsia" w:cstheme="minorEastAsia"/>
              <w:bCs/>
              <w:szCs w:val="32"/>
            </w:rPr>
            <w:fldChar w:fldCharType="end"/>
          </w:r>
        </w:p>
        <w:p w14:paraId="308899A1">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_Toc16945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4</w:t>
          </w:r>
          <w:r>
            <w:rPr>
              <w:rFonts w:hint="eastAsia" w:ascii="宋体" w:hAnsi="宋体" w:eastAsia="宋体" w:cs="宋体"/>
              <w:bCs/>
              <w:szCs w:val="28"/>
              <w:lang w:val="en-US" w:eastAsia="zh-CN"/>
            </w:rPr>
            <w:t>.5 应急监测</w:t>
          </w:r>
          <w:r>
            <w:tab/>
          </w:r>
          <w:r>
            <w:fldChar w:fldCharType="begin"/>
          </w:r>
          <w:r>
            <w:instrText xml:space="preserve"> PAGEREF _Toc16945 \h </w:instrText>
          </w:r>
          <w:r>
            <w:fldChar w:fldCharType="separate"/>
          </w:r>
          <w:r>
            <w:t>20</w:t>
          </w:r>
          <w:r>
            <w:fldChar w:fldCharType="end"/>
          </w:r>
          <w:r>
            <w:rPr>
              <w:rFonts w:hint="eastAsia" w:asciiTheme="minorEastAsia" w:hAnsiTheme="minorEastAsia" w:eastAsiaTheme="minorEastAsia" w:cstheme="minorEastAsia"/>
              <w:bCs/>
              <w:szCs w:val="32"/>
            </w:rPr>
            <w:fldChar w:fldCharType="end"/>
          </w:r>
        </w:p>
        <w:p w14:paraId="66BD11D5">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_Toc4315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4.6 事故源排查与处置</w:t>
          </w:r>
          <w:r>
            <w:tab/>
          </w:r>
          <w:r>
            <w:fldChar w:fldCharType="begin"/>
          </w:r>
          <w:r>
            <w:instrText xml:space="preserve"> PAGEREF _Toc4315 \h </w:instrText>
          </w:r>
          <w:r>
            <w:fldChar w:fldCharType="separate"/>
          </w:r>
          <w:r>
            <w:t>23</w:t>
          </w:r>
          <w:r>
            <w:fldChar w:fldCharType="end"/>
          </w:r>
          <w:r>
            <w:rPr>
              <w:rFonts w:hint="eastAsia" w:asciiTheme="minorEastAsia" w:hAnsiTheme="minorEastAsia" w:eastAsiaTheme="minorEastAsia" w:cstheme="minorEastAsia"/>
              <w:bCs/>
              <w:szCs w:val="32"/>
            </w:rPr>
            <w:fldChar w:fldCharType="end"/>
          </w:r>
        </w:p>
        <w:p w14:paraId="15667150">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_Toc28365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4</w:t>
          </w:r>
          <w:r>
            <w:rPr>
              <w:rFonts w:hint="eastAsia" w:ascii="宋体" w:hAnsi="宋体" w:eastAsia="宋体" w:cs="宋体"/>
              <w:bCs/>
              <w:szCs w:val="28"/>
              <w:lang w:val="en-US" w:eastAsia="zh-CN"/>
            </w:rPr>
            <w:t>.7 应急处置</w:t>
          </w:r>
          <w:r>
            <w:tab/>
          </w:r>
          <w:r>
            <w:fldChar w:fldCharType="begin"/>
          </w:r>
          <w:r>
            <w:instrText xml:space="preserve"> PAGEREF _Toc28365 \h </w:instrText>
          </w:r>
          <w:r>
            <w:fldChar w:fldCharType="separate"/>
          </w:r>
          <w:r>
            <w:t>25</w:t>
          </w:r>
          <w:r>
            <w:fldChar w:fldCharType="end"/>
          </w:r>
          <w:r>
            <w:rPr>
              <w:rFonts w:hint="eastAsia" w:asciiTheme="minorEastAsia" w:hAnsiTheme="minorEastAsia" w:eastAsiaTheme="minorEastAsia" w:cstheme="minorEastAsia"/>
              <w:bCs/>
              <w:szCs w:val="32"/>
            </w:rPr>
            <w:fldChar w:fldCharType="end"/>
          </w:r>
        </w:p>
        <w:p w14:paraId="0166412A">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_Toc16092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4.8 物资调集及应急设施启用</w:t>
          </w:r>
          <w:r>
            <w:tab/>
          </w:r>
          <w:r>
            <w:fldChar w:fldCharType="begin"/>
          </w:r>
          <w:r>
            <w:instrText xml:space="preserve"> PAGEREF _Toc16092 \h </w:instrText>
          </w:r>
          <w:r>
            <w:fldChar w:fldCharType="separate"/>
          </w:r>
          <w:r>
            <w:t>28</w:t>
          </w:r>
          <w:r>
            <w:fldChar w:fldCharType="end"/>
          </w:r>
          <w:r>
            <w:rPr>
              <w:rFonts w:hint="eastAsia" w:asciiTheme="minorEastAsia" w:hAnsiTheme="minorEastAsia" w:eastAsiaTheme="minorEastAsia" w:cstheme="minorEastAsia"/>
              <w:bCs/>
              <w:szCs w:val="32"/>
            </w:rPr>
            <w:fldChar w:fldCharType="end"/>
          </w:r>
        </w:p>
        <w:p w14:paraId="72BDC6A7">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_Toc31212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4.9 舆情监测与信息发布</w:t>
          </w:r>
          <w:r>
            <w:tab/>
          </w:r>
          <w:r>
            <w:fldChar w:fldCharType="begin"/>
          </w:r>
          <w:r>
            <w:instrText xml:space="preserve"> PAGEREF _Toc31212 \h </w:instrText>
          </w:r>
          <w:r>
            <w:fldChar w:fldCharType="separate"/>
          </w:r>
          <w:r>
            <w:t>28</w:t>
          </w:r>
          <w:r>
            <w:fldChar w:fldCharType="end"/>
          </w:r>
          <w:r>
            <w:rPr>
              <w:rFonts w:hint="eastAsia" w:asciiTheme="minorEastAsia" w:hAnsiTheme="minorEastAsia" w:eastAsiaTheme="minorEastAsia" w:cstheme="minorEastAsia"/>
              <w:bCs/>
              <w:szCs w:val="32"/>
            </w:rPr>
            <w:fldChar w:fldCharType="end"/>
          </w:r>
        </w:p>
        <w:p w14:paraId="73CAADDD">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_Toc19502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bCs/>
              <w:szCs w:val="28"/>
              <w:lang w:val="en-US" w:eastAsia="zh-CN"/>
            </w:rPr>
            <w:t>4.10 响应终止</w:t>
          </w:r>
          <w:r>
            <w:tab/>
          </w:r>
          <w:r>
            <w:fldChar w:fldCharType="begin"/>
          </w:r>
          <w:r>
            <w:instrText xml:space="preserve"> PAGEREF _Toc19502 \h </w:instrText>
          </w:r>
          <w:r>
            <w:fldChar w:fldCharType="separate"/>
          </w:r>
          <w:r>
            <w:t>28</w:t>
          </w:r>
          <w:r>
            <w:fldChar w:fldCharType="end"/>
          </w:r>
          <w:r>
            <w:rPr>
              <w:rFonts w:hint="eastAsia" w:asciiTheme="minorEastAsia" w:hAnsiTheme="minorEastAsia" w:eastAsiaTheme="minorEastAsia" w:cstheme="minorEastAsia"/>
              <w:bCs/>
              <w:szCs w:val="32"/>
            </w:rPr>
            <w:fldChar w:fldCharType="end"/>
          </w:r>
        </w:p>
        <w:p w14:paraId="3E9A5251">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_Toc31622 </w:instrText>
          </w:r>
          <w:r>
            <w:rPr>
              <w:rFonts w:hint="eastAsia" w:asciiTheme="minorEastAsia" w:hAnsiTheme="minorEastAsia" w:eastAsiaTheme="minorEastAsia" w:cstheme="minorEastAsia"/>
              <w:bCs/>
              <w:szCs w:val="32"/>
            </w:rPr>
            <w:fldChar w:fldCharType="separate"/>
          </w:r>
          <w:r>
            <w:rPr>
              <w:rFonts w:hint="eastAsia" w:cs="宋体"/>
              <w:bCs/>
              <w:szCs w:val="32"/>
              <w:lang w:val="en-US" w:eastAsia="zh-CN"/>
            </w:rPr>
            <w:t>5</w:t>
          </w:r>
          <w:r>
            <w:rPr>
              <w:rFonts w:hint="eastAsia" w:ascii="宋体" w:hAnsi="宋体" w:eastAsia="宋体" w:cs="宋体"/>
              <w:bCs/>
              <w:szCs w:val="32"/>
              <w:lang w:val="en-US" w:eastAsia="zh-CN"/>
            </w:rPr>
            <w:t xml:space="preserve"> </w:t>
          </w:r>
          <w:r>
            <w:rPr>
              <w:rFonts w:hint="eastAsia" w:cs="宋体"/>
              <w:bCs/>
              <w:szCs w:val="32"/>
              <w:lang w:val="en-US" w:eastAsia="zh-CN"/>
            </w:rPr>
            <w:t>后期工作</w:t>
          </w:r>
          <w:r>
            <w:tab/>
          </w:r>
          <w:r>
            <w:fldChar w:fldCharType="begin"/>
          </w:r>
          <w:r>
            <w:instrText xml:space="preserve"> PAGEREF _Toc31622 \h </w:instrText>
          </w:r>
          <w:r>
            <w:fldChar w:fldCharType="separate"/>
          </w:r>
          <w:r>
            <w:t>29</w:t>
          </w:r>
          <w:r>
            <w:fldChar w:fldCharType="end"/>
          </w:r>
          <w:r>
            <w:rPr>
              <w:rFonts w:hint="eastAsia" w:asciiTheme="minorEastAsia" w:hAnsiTheme="minorEastAsia" w:eastAsiaTheme="minorEastAsia" w:cstheme="minorEastAsia"/>
              <w:bCs/>
              <w:szCs w:val="32"/>
            </w:rPr>
            <w:fldChar w:fldCharType="end"/>
          </w:r>
        </w:p>
        <w:p w14:paraId="0736C0D0">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_Toc10713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.1 后期防控</w:t>
          </w:r>
          <w:r>
            <w:tab/>
          </w:r>
          <w:r>
            <w:fldChar w:fldCharType="begin"/>
          </w:r>
          <w:r>
            <w:instrText xml:space="preserve"> PAGEREF _Toc10713 \h </w:instrText>
          </w:r>
          <w:r>
            <w:fldChar w:fldCharType="separate"/>
          </w:r>
          <w:r>
            <w:t>29</w:t>
          </w:r>
          <w:r>
            <w:fldChar w:fldCharType="end"/>
          </w:r>
          <w:r>
            <w:rPr>
              <w:rFonts w:hint="eastAsia" w:asciiTheme="minorEastAsia" w:hAnsiTheme="minorEastAsia" w:eastAsiaTheme="minorEastAsia" w:cstheme="minorEastAsia"/>
              <w:bCs/>
              <w:szCs w:val="32"/>
            </w:rPr>
            <w:fldChar w:fldCharType="end"/>
          </w:r>
        </w:p>
        <w:p w14:paraId="1BFF565B">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_Toc7612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.2 事件调查</w:t>
          </w:r>
          <w:r>
            <w:tab/>
          </w:r>
          <w:r>
            <w:fldChar w:fldCharType="begin"/>
          </w:r>
          <w:r>
            <w:instrText xml:space="preserve"> PAGEREF _Toc7612 \h </w:instrText>
          </w:r>
          <w:r>
            <w:fldChar w:fldCharType="separate"/>
          </w:r>
          <w:r>
            <w:t>30</w:t>
          </w:r>
          <w:r>
            <w:fldChar w:fldCharType="end"/>
          </w:r>
          <w:r>
            <w:rPr>
              <w:rFonts w:hint="eastAsia" w:asciiTheme="minorEastAsia" w:hAnsiTheme="minorEastAsia" w:eastAsiaTheme="minorEastAsia" w:cstheme="minorEastAsia"/>
              <w:bCs/>
              <w:szCs w:val="32"/>
            </w:rPr>
            <w:fldChar w:fldCharType="end"/>
          </w:r>
        </w:p>
        <w:p w14:paraId="269FBAB6">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_Toc27055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.3 损害评估</w:t>
          </w:r>
          <w:r>
            <w:tab/>
          </w:r>
          <w:r>
            <w:fldChar w:fldCharType="begin"/>
          </w:r>
          <w:r>
            <w:instrText xml:space="preserve"> PAGEREF _Toc27055 \h </w:instrText>
          </w:r>
          <w:r>
            <w:fldChar w:fldCharType="separate"/>
          </w:r>
          <w:r>
            <w:t>30</w:t>
          </w:r>
          <w:r>
            <w:fldChar w:fldCharType="end"/>
          </w:r>
          <w:r>
            <w:rPr>
              <w:rFonts w:hint="eastAsia" w:asciiTheme="minorEastAsia" w:hAnsiTheme="minorEastAsia" w:eastAsiaTheme="minorEastAsia" w:cstheme="minorEastAsia"/>
              <w:bCs/>
              <w:szCs w:val="32"/>
            </w:rPr>
            <w:fldChar w:fldCharType="end"/>
          </w:r>
        </w:p>
        <w:p w14:paraId="1D64CB64">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_Toc25196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5</w:t>
          </w:r>
          <w:r>
            <w:rPr>
              <w:rFonts w:hint="eastAsia" w:ascii="宋体" w:hAnsi="宋体" w:eastAsia="宋体" w:cs="宋体"/>
              <w:bCs/>
              <w:szCs w:val="28"/>
              <w:lang w:val="en-US" w:eastAsia="zh-CN"/>
            </w:rPr>
            <w:t>.4 善后处置</w:t>
          </w:r>
          <w:r>
            <w:tab/>
          </w:r>
          <w:r>
            <w:fldChar w:fldCharType="begin"/>
          </w:r>
          <w:r>
            <w:instrText xml:space="preserve"> PAGEREF _Toc25196 \h </w:instrText>
          </w:r>
          <w:r>
            <w:fldChar w:fldCharType="separate"/>
          </w:r>
          <w:r>
            <w:t>30</w:t>
          </w:r>
          <w:r>
            <w:fldChar w:fldCharType="end"/>
          </w:r>
          <w:r>
            <w:rPr>
              <w:rFonts w:hint="eastAsia" w:asciiTheme="minorEastAsia" w:hAnsiTheme="minorEastAsia" w:eastAsiaTheme="minorEastAsia" w:cstheme="minorEastAsia"/>
              <w:bCs/>
              <w:szCs w:val="32"/>
            </w:rPr>
            <w:fldChar w:fldCharType="end"/>
          </w:r>
        </w:p>
        <w:p w14:paraId="0AABDDC7">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_Toc10277 </w:instrText>
          </w:r>
          <w:r>
            <w:rPr>
              <w:rFonts w:hint="eastAsia" w:asciiTheme="minorEastAsia" w:hAnsiTheme="minorEastAsia" w:eastAsiaTheme="minorEastAsia" w:cstheme="minorEastAsia"/>
              <w:bCs/>
              <w:szCs w:val="32"/>
            </w:rPr>
            <w:fldChar w:fldCharType="separate"/>
          </w:r>
          <w:r>
            <w:rPr>
              <w:rFonts w:hint="eastAsia" w:cs="宋体"/>
              <w:bCs/>
              <w:szCs w:val="32"/>
              <w:lang w:val="en-US" w:eastAsia="zh-CN"/>
            </w:rPr>
            <w:t>6</w:t>
          </w:r>
          <w:r>
            <w:rPr>
              <w:rFonts w:hint="eastAsia" w:ascii="宋体" w:hAnsi="宋体" w:eastAsia="宋体" w:cs="宋体"/>
              <w:bCs/>
              <w:szCs w:val="32"/>
              <w:lang w:val="en-US" w:eastAsia="zh-CN"/>
            </w:rPr>
            <w:t xml:space="preserve"> 应急保障</w:t>
          </w:r>
          <w:r>
            <w:tab/>
          </w:r>
          <w:r>
            <w:fldChar w:fldCharType="begin"/>
          </w:r>
          <w:r>
            <w:instrText xml:space="preserve"> PAGEREF _Toc10277 \h </w:instrText>
          </w:r>
          <w:r>
            <w:fldChar w:fldCharType="separate"/>
          </w:r>
          <w:r>
            <w:t>31</w:t>
          </w:r>
          <w:r>
            <w:fldChar w:fldCharType="end"/>
          </w:r>
          <w:r>
            <w:rPr>
              <w:rFonts w:hint="eastAsia" w:asciiTheme="minorEastAsia" w:hAnsiTheme="minorEastAsia" w:eastAsiaTheme="minorEastAsia" w:cstheme="minorEastAsia"/>
              <w:bCs/>
              <w:szCs w:val="32"/>
            </w:rPr>
            <w:fldChar w:fldCharType="end"/>
          </w:r>
        </w:p>
        <w:p w14:paraId="0BD38E09">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_Toc13854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.1 队伍保障</w:t>
          </w:r>
          <w:r>
            <w:tab/>
          </w:r>
          <w:r>
            <w:fldChar w:fldCharType="begin"/>
          </w:r>
          <w:r>
            <w:instrText xml:space="preserve"> PAGEREF _Toc13854 \h </w:instrText>
          </w:r>
          <w:r>
            <w:fldChar w:fldCharType="separate"/>
          </w:r>
          <w:r>
            <w:t>31</w:t>
          </w:r>
          <w:r>
            <w:fldChar w:fldCharType="end"/>
          </w:r>
          <w:r>
            <w:rPr>
              <w:rFonts w:hint="eastAsia" w:asciiTheme="minorEastAsia" w:hAnsiTheme="minorEastAsia" w:eastAsiaTheme="minorEastAsia" w:cstheme="minorEastAsia"/>
              <w:bCs/>
              <w:szCs w:val="32"/>
            </w:rPr>
            <w:fldChar w:fldCharType="end"/>
          </w:r>
        </w:p>
        <w:p w14:paraId="73E98E3A">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_Toc25080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.2 物资、装备与资金保障</w:t>
          </w:r>
          <w:r>
            <w:tab/>
          </w:r>
          <w:r>
            <w:fldChar w:fldCharType="begin"/>
          </w:r>
          <w:r>
            <w:instrText xml:space="preserve"> PAGEREF _Toc25080 \h </w:instrText>
          </w:r>
          <w:r>
            <w:fldChar w:fldCharType="separate"/>
          </w:r>
          <w:r>
            <w:t>31</w:t>
          </w:r>
          <w:r>
            <w:fldChar w:fldCharType="end"/>
          </w:r>
          <w:r>
            <w:rPr>
              <w:rFonts w:hint="eastAsia" w:asciiTheme="minorEastAsia" w:hAnsiTheme="minorEastAsia" w:eastAsiaTheme="minorEastAsia" w:cstheme="minorEastAsia"/>
              <w:bCs/>
              <w:szCs w:val="32"/>
            </w:rPr>
            <w:fldChar w:fldCharType="end"/>
          </w:r>
        </w:p>
        <w:p w14:paraId="4040F873">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_Toc17286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.3 通信、交通与运输保障</w:t>
          </w:r>
          <w:r>
            <w:tab/>
          </w:r>
          <w:r>
            <w:fldChar w:fldCharType="begin"/>
          </w:r>
          <w:r>
            <w:instrText xml:space="preserve"> PAGEREF _Toc17286 \h </w:instrText>
          </w:r>
          <w:r>
            <w:fldChar w:fldCharType="separate"/>
          </w:r>
          <w:r>
            <w:t>31</w:t>
          </w:r>
          <w:r>
            <w:fldChar w:fldCharType="end"/>
          </w:r>
          <w:r>
            <w:rPr>
              <w:rFonts w:hint="eastAsia" w:asciiTheme="minorEastAsia" w:hAnsiTheme="minorEastAsia" w:eastAsiaTheme="minorEastAsia" w:cstheme="minorEastAsia"/>
              <w:bCs/>
              <w:szCs w:val="32"/>
            </w:rPr>
            <w:fldChar w:fldCharType="end"/>
          </w:r>
        </w:p>
        <w:p w14:paraId="40CF4F58">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_Toc31802 </w:instrText>
          </w:r>
          <w:r>
            <w:rPr>
              <w:rFonts w:hint="eastAsia" w:asciiTheme="minorEastAsia" w:hAnsiTheme="minorEastAsia" w:eastAsiaTheme="minorEastAsia" w:cstheme="minorEastAsia"/>
              <w:bCs/>
              <w:szCs w:val="32"/>
            </w:rPr>
            <w:fldChar w:fldCharType="separate"/>
          </w:r>
          <w:r>
            <w:rPr>
              <w:rFonts w:hint="eastAsia" w:ascii="宋体" w:hAnsi="宋体" w:cs="宋体"/>
              <w:bCs/>
              <w:szCs w:val="28"/>
              <w:lang w:val="en-US" w:eastAsia="zh-CN"/>
            </w:rPr>
            <w:t>6</w:t>
          </w:r>
          <w:r>
            <w:rPr>
              <w:rFonts w:hint="eastAsia" w:ascii="宋体" w:hAnsi="宋体" w:eastAsia="宋体" w:cs="宋体"/>
              <w:bCs/>
              <w:szCs w:val="28"/>
              <w:lang w:val="en-US" w:eastAsia="zh-CN"/>
            </w:rPr>
            <w:t>.4 技术保障</w:t>
          </w:r>
          <w:r>
            <w:tab/>
          </w:r>
          <w:r>
            <w:fldChar w:fldCharType="begin"/>
          </w:r>
          <w:r>
            <w:instrText xml:space="preserve"> PAGEREF _Toc31802 \h </w:instrText>
          </w:r>
          <w:r>
            <w:fldChar w:fldCharType="separate"/>
          </w:r>
          <w:r>
            <w:t>32</w:t>
          </w:r>
          <w:r>
            <w:fldChar w:fldCharType="end"/>
          </w:r>
          <w:r>
            <w:rPr>
              <w:rFonts w:hint="eastAsia" w:asciiTheme="minorEastAsia" w:hAnsiTheme="minorEastAsia" w:eastAsiaTheme="minorEastAsia" w:cstheme="minorEastAsia"/>
              <w:bCs/>
              <w:szCs w:val="32"/>
            </w:rPr>
            <w:fldChar w:fldCharType="end"/>
          </w:r>
        </w:p>
        <w:p w14:paraId="5BDA3C97">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_Toc21493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 xml:space="preserve"> 监督管理</w:t>
          </w:r>
          <w:r>
            <w:tab/>
          </w:r>
          <w:r>
            <w:fldChar w:fldCharType="begin"/>
          </w:r>
          <w:r>
            <w:instrText xml:space="preserve"> PAGEREF _Toc21493 \h </w:instrText>
          </w:r>
          <w:r>
            <w:fldChar w:fldCharType="separate"/>
          </w:r>
          <w:r>
            <w:t>33</w:t>
          </w:r>
          <w:r>
            <w:fldChar w:fldCharType="end"/>
          </w:r>
          <w:r>
            <w:rPr>
              <w:rFonts w:hint="eastAsia" w:asciiTheme="minorEastAsia" w:hAnsiTheme="minorEastAsia" w:eastAsiaTheme="minorEastAsia" w:cstheme="minorEastAsia"/>
              <w:bCs/>
              <w:szCs w:val="32"/>
            </w:rPr>
            <w:fldChar w:fldCharType="end"/>
          </w:r>
        </w:p>
        <w:p w14:paraId="5070C2FD">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_Toc14704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.1 应急预案演练</w:t>
          </w:r>
          <w:r>
            <w:tab/>
          </w:r>
          <w:r>
            <w:fldChar w:fldCharType="begin"/>
          </w:r>
          <w:r>
            <w:instrText xml:space="preserve"> PAGEREF _Toc14704 \h </w:instrText>
          </w:r>
          <w:r>
            <w:fldChar w:fldCharType="separate"/>
          </w:r>
          <w:r>
            <w:t>33</w:t>
          </w:r>
          <w:r>
            <w:fldChar w:fldCharType="end"/>
          </w:r>
          <w:r>
            <w:rPr>
              <w:rFonts w:hint="eastAsia" w:asciiTheme="minorEastAsia" w:hAnsiTheme="minorEastAsia" w:eastAsiaTheme="minorEastAsia" w:cstheme="minorEastAsia"/>
              <w:bCs/>
              <w:szCs w:val="32"/>
            </w:rPr>
            <w:fldChar w:fldCharType="end"/>
          </w:r>
        </w:p>
        <w:p w14:paraId="3BC728F4">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_Toc11370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.2 宣传</w:t>
          </w:r>
          <w:r>
            <w:tab/>
          </w:r>
          <w:r>
            <w:fldChar w:fldCharType="begin"/>
          </w:r>
          <w:r>
            <w:instrText xml:space="preserve"> PAGEREF _Toc11370 \h </w:instrText>
          </w:r>
          <w:r>
            <w:fldChar w:fldCharType="separate"/>
          </w:r>
          <w:r>
            <w:t>33</w:t>
          </w:r>
          <w:r>
            <w:fldChar w:fldCharType="end"/>
          </w:r>
          <w:r>
            <w:rPr>
              <w:rFonts w:hint="eastAsia" w:asciiTheme="minorEastAsia" w:hAnsiTheme="minorEastAsia" w:eastAsiaTheme="minorEastAsia" w:cstheme="minorEastAsia"/>
              <w:bCs/>
              <w:szCs w:val="32"/>
            </w:rPr>
            <w:fldChar w:fldCharType="end"/>
          </w:r>
        </w:p>
        <w:p w14:paraId="293A574B">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_Toc27877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.3 培训</w:t>
          </w:r>
          <w:r>
            <w:tab/>
          </w:r>
          <w:r>
            <w:fldChar w:fldCharType="begin"/>
          </w:r>
          <w:r>
            <w:instrText xml:space="preserve"> PAGEREF _Toc27877 \h </w:instrText>
          </w:r>
          <w:r>
            <w:fldChar w:fldCharType="separate"/>
          </w:r>
          <w:r>
            <w:t>33</w:t>
          </w:r>
          <w:r>
            <w:fldChar w:fldCharType="end"/>
          </w:r>
          <w:r>
            <w:rPr>
              <w:rFonts w:hint="eastAsia" w:asciiTheme="minorEastAsia" w:hAnsiTheme="minorEastAsia" w:eastAsiaTheme="minorEastAsia" w:cstheme="minorEastAsia"/>
              <w:bCs/>
              <w:szCs w:val="32"/>
            </w:rPr>
            <w:fldChar w:fldCharType="end"/>
          </w:r>
        </w:p>
        <w:p w14:paraId="591D67B5">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_Toc5163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7</w:t>
          </w:r>
          <w:r>
            <w:rPr>
              <w:rFonts w:hint="eastAsia" w:ascii="宋体" w:hAnsi="宋体" w:eastAsia="宋体" w:cs="宋体"/>
              <w:bCs/>
              <w:kern w:val="2"/>
              <w:szCs w:val="32"/>
              <w:lang w:val="en-US" w:eastAsia="zh-CN" w:bidi="ar-SA"/>
            </w:rPr>
            <w:t>.4 预案管理</w:t>
          </w:r>
          <w:r>
            <w:tab/>
          </w:r>
          <w:r>
            <w:fldChar w:fldCharType="begin"/>
          </w:r>
          <w:r>
            <w:instrText xml:space="preserve"> PAGEREF _Toc5163 \h </w:instrText>
          </w:r>
          <w:r>
            <w:fldChar w:fldCharType="separate"/>
          </w:r>
          <w:r>
            <w:t>33</w:t>
          </w:r>
          <w:r>
            <w:fldChar w:fldCharType="end"/>
          </w:r>
          <w:r>
            <w:rPr>
              <w:rFonts w:hint="eastAsia" w:asciiTheme="minorEastAsia" w:hAnsiTheme="minorEastAsia" w:eastAsiaTheme="minorEastAsia" w:cstheme="minorEastAsia"/>
              <w:bCs/>
              <w:szCs w:val="32"/>
            </w:rPr>
            <w:fldChar w:fldCharType="end"/>
          </w:r>
        </w:p>
        <w:p w14:paraId="57C09D68">
          <w:pPr>
            <w:pStyle w:val="12"/>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_Toc1381 </w:instrText>
          </w:r>
          <w:r>
            <w:rPr>
              <w:rFonts w:hint="eastAsia" w:asciiTheme="minorEastAsia" w:hAnsiTheme="minorEastAsia" w:eastAsiaTheme="minorEastAsia" w:cstheme="minorEastAsia"/>
              <w:bCs/>
              <w:szCs w:val="32"/>
            </w:rPr>
            <w:fldChar w:fldCharType="separate"/>
          </w:r>
          <w:r>
            <w:rPr>
              <w:rFonts w:hint="eastAsia" w:ascii="宋体" w:hAnsi="宋体" w:cs="宋体"/>
              <w:bCs/>
              <w:kern w:val="2"/>
              <w:szCs w:val="32"/>
              <w:lang w:val="en-US" w:eastAsia="zh-CN" w:bidi="ar-SA"/>
            </w:rPr>
            <w:t>8</w:t>
          </w:r>
          <w:r>
            <w:rPr>
              <w:rFonts w:hint="eastAsia" w:ascii="宋体" w:hAnsi="宋体" w:eastAsia="宋体" w:cs="宋体"/>
              <w:bCs/>
              <w:kern w:val="2"/>
              <w:szCs w:val="32"/>
              <w:lang w:val="en-US" w:eastAsia="zh-CN" w:bidi="ar-SA"/>
            </w:rPr>
            <w:t xml:space="preserve"> 附件和附图</w:t>
          </w:r>
          <w:r>
            <w:tab/>
          </w:r>
          <w:r>
            <w:fldChar w:fldCharType="begin"/>
          </w:r>
          <w:r>
            <w:instrText xml:space="preserve"> PAGEREF _Toc1381 \h </w:instrText>
          </w:r>
          <w:r>
            <w:fldChar w:fldCharType="separate"/>
          </w:r>
          <w:r>
            <w:t>35</w:t>
          </w:r>
          <w:r>
            <w:fldChar w:fldCharType="end"/>
          </w:r>
          <w:r>
            <w:rPr>
              <w:rFonts w:hint="eastAsia" w:asciiTheme="minorEastAsia" w:hAnsiTheme="minorEastAsia" w:eastAsiaTheme="minorEastAsia" w:cstheme="minorEastAsia"/>
              <w:bCs/>
              <w:szCs w:val="32"/>
            </w:rPr>
            <w:fldChar w:fldCharType="end"/>
          </w:r>
        </w:p>
        <w:p w14:paraId="1D084F3F">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_Toc22787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rPr>
            <w:t>附件1：</w:t>
          </w:r>
          <w:r>
            <w:rPr>
              <w:rFonts w:hint="eastAsia" w:ascii="宋体" w:hAnsi="宋体" w:eastAsia="宋体" w:cs="宋体"/>
              <w:szCs w:val="28"/>
              <w:lang w:val="en-US" w:eastAsia="zh-CN"/>
            </w:rPr>
            <w:t>应急组织机构名单</w:t>
          </w:r>
          <w:r>
            <w:tab/>
          </w:r>
          <w:r>
            <w:fldChar w:fldCharType="begin"/>
          </w:r>
          <w:r>
            <w:instrText xml:space="preserve"> PAGEREF _Toc22787 \h </w:instrText>
          </w:r>
          <w:r>
            <w:fldChar w:fldCharType="separate"/>
          </w:r>
          <w:r>
            <w:t>36</w:t>
          </w:r>
          <w:r>
            <w:fldChar w:fldCharType="end"/>
          </w:r>
          <w:r>
            <w:rPr>
              <w:rFonts w:hint="eastAsia" w:asciiTheme="minorEastAsia" w:hAnsiTheme="minorEastAsia" w:eastAsiaTheme="minorEastAsia" w:cstheme="minorEastAsia"/>
              <w:bCs/>
              <w:szCs w:val="32"/>
            </w:rPr>
            <w:fldChar w:fldCharType="end"/>
          </w:r>
        </w:p>
        <w:p w14:paraId="63DC29E3">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_Toc4856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附件2：白鹤街道突发环境事件应急物资清单</w:t>
          </w:r>
          <w:r>
            <w:tab/>
          </w:r>
          <w:r>
            <w:fldChar w:fldCharType="begin"/>
          </w:r>
          <w:r>
            <w:instrText xml:space="preserve"> PAGEREF _Toc4856 \h </w:instrText>
          </w:r>
          <w:r>
            <w:fldChar w:fldCharType="separate"/>
          </w:r>
          <w:r>
            <w:t>37</w:t>
          </w:r>
          <w:r>
            <w:fldChar w:fldCharType="end"/>
          </w:r>
          <w:r>
            <w:rPr>
              <w:rFonts w:hint="eastAsia" w:asciiTheme="minorEastAsia" w:hAnsiTheme="minorEastAsia" w:eastAsiaTheme="minorEastAsia" w:cstheme="minorEastAsia"/>
              <w:bCs/>
              <w:szCs w:val="32"/>
            </w:rPr>
            <w:fldChar w:fldCharType="end"/>
          </w:r>
        </w:p>
        <w:p w14:paraId="6EA174FE">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_Toc1691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附件3：开州区应急物资储备情况</w:t>
          </w:r>
          <w:r>
            <w:tab/>
          </w:r>
          <w:r>
            <w:fldChar w:fldCharType="begin"/>
          </w:r>
          <w:r>
            <w:instrText xml:space="preserve"> PAGEREF _Toc1691 \h </w:instrText>
          </w:r>
          <w:r>
            <w:fldChar w:fldCharType="separate"/>
          </w:r>
          <w:r>
            <w:t>38</w:t>
          </w:r>
          <w:r>
            <w:fldChar w:fldCharType="end"/>
          </w:r>
          <w:r>
            <w:rPr>
              <w:rFonts w:hint="eastAsia" w:asciiTheme="minorEastAsia" w:hAnsiTheme="minorEastAsia" w:eastAsiaTheme="minorEastAsia" w:cstheme="minorEastAsia"/>
              <w:bCs/>
              <w:szCs w:val="32"/>
            </w:rPr>
            <w:fldChar w:fldCharType="end"/>
          </w:r>
        </w:p>
        <w:p w14:paraId="769C5495">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_Toc18267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附图1</w:t>
          </w:r>
          <w:r>
            <w:rPr>
              <w:rFonts w:hint="eastAsia" w:ascii="宋体" w:hAnsi="宋体" w:cs="宋体"/>
              <w:szCs w:val="28"/>
              <w:lang w:val="en-US" w:eastAsia="zh-CN"/>
            </w:rPr>
            <w:t>：</w:t>
          </w:r>
          <w:r>
            <w:rPr>
              <w:rFonts w:hint="eastAsia" w:ascii="宋体" w:hAnsi="宋体" w:eastAsia="宋体" w:cs="宋体"/>
              <w:szCs w:val="28"/>
              <w:lang w:val="en-US" w:eastAsia="zh-CN"/>
            </w:rPr>
            <w:t>开州区行政区划图</w:t>
          </w:r>
          <w:r>
            <w:tab/>
          </w:r>
          <w:r>
            <w:fldChar w:fldCharType="begin"/>
          </w:r>
          <w:r>
            <w:instrText xml:space="preserve"> PAGEREF _Toc18267 \h </w:instrText>
          </w:r>
          <w:r>
            <w:fldChar w:fldCharType="separate"/>
          </w:r>
          <w:r>
            <w:t>41</w:t>
          </w:r>
          <w:r>
            <w:fldChar w:fldCharType="end"/>
          </w:r>
          <w:r>
            <w:rPr>
              <w:rFonts w:hint="eastAsia" w:asciiTheme="minorEastAsia" w:hAnsiTheme="minorEastAsia" w:eastAsiaTheme="minorEastAsia" w:cstheme="minorEastAsia"/>
              <w:bCs/>
              <w:szCs w:val="32"/>
            </w:rPr>
            <w:fldChar w:fldCharType="end"/>
          </w:r>
        </w:p>
        <w:p w14:paraId="728B1136">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_Toc29073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附图2</w:t>
          </w:r>
          <w:r>
            <w:rPr>
              <w:rFonts w:hint="eastAsia" w:ascii="宋体" w:hAnsi="宋体" w:cs="宋体"/>
              <w:szCs w:val="28"/>
              <w:lang w:val="en-US" w:eastAsia="zh-CN"/>
            </w:rPr>
            <w:t>：</w:t>
          </w:r>
          <w:r>
            <w:rPr>
              <w:rFonts w:hint="eastAsia" w:ascii="宋体" w:hAnsi="宋体" w:eastAsia="宋体" w:cs="宋体"/>
              <w:szCs w:val="28"/>
              <w:lang w:val="en-US" w:eastAsia="zh-CN"/>
            </w:rPr>
            <w:t>开州区水系图</w:t>
          </w:r>
          <w:r>
            <w:tab/>
          </w:r>
          <w:r>
            <w:fldChar w:fldCharType="begin"/>
          </w:r>
          <w:r>
            <w:instrText xml:space="preserve"> PAGEREF _Toc29073 \h </w:instrText>
          </w:r>
          <w:r>
            <w:fldChar w:fldCharType="separate"/>
          </w:r>
          <w:r>
            <w:t>42</w:t>
          </w:r>
          <w:r>
            <w:fldChar w:fldCharType="end"/>
          </w:r>
          <w:r>
            <w:rPr>
              <w:rFonts w:hint="eastAsia" w:asciiTheme="minorEastAsia" w:hAnsiTheme="minorEastAsia" w:eastAsiaTheme="minorEastAsia" w:cstheme="minorEastAsia"/>
              <w:bCs/>
              <w:szCs w:val="32"/>
            </w:rPr>
            <w:fldChar w:fldCharType="end"/>
          </w:r>
        </w:p>
        <w:p w14:paraId="5C09CA27">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_Toc12096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附图3</w:t>
          </w:r>
          <w:r>
            <w:rPr>
              <w:rFonts w:hint="eastAsia" w:ascii="宋体" w:hAnsi="宋体" w:cs="宋体"/>
              <w:szCs w:val="28"/>
              <w:lang w:val="en-US" w:eastAsia="zh-CN"/>
            </w:rPr>
            <w:t>：</w:t>
          </w:r>
          <w:r>
            <w:rPr>
              <w:rFonts w:hint="eastAsia" w:ascii="宋体" w:hAnsi="宋体" w:eastAsia="宋体" w:cs="宋体"/>
              <w:szCs w:val="28"/>
              <w:lang w:val="en-US" w:eastAsia="zh-CN"/>
            </w:rPr>
            <w:t>重庆市开州区白鹤街道饮用水水源地地理位置图</w:t>
          </w:r>
          <w:r>
            <w:tab/>
          </w:r>
          <w:r>
            <w:fldChar w:fldCharType="begin"/>
          </w:r>
          <w:r>
            <w:instrText xml:space="preserve"> PAGEREF _Toc12096 \h </w:instrText>
          </w:r>
          <w:r>
            <w:fldChar w:fldCharType="separate"/>
          </w:r>
          <w:r>
            <w:t>43</w:t>
          </w:r>
          <w:r>
            <w:fldChar w:fldCharType="end"/>
          </w:r>
          <w:r>
            <w:rPr>
              <w:rFonts w:hint="eastAsia" w:asciiTheme="minorEastAsia" w:hAnsiTheme="minorEastAsia" w:eastAsiaTheme="minorEastAsia" w:cstheme="minorEastAsia"/>
              <w:bCs/>
              <w:szCs w:val="32"/>
            </w:rPr>
            <w:fldChar w:fldCharType="end"/>
          </w:r>
        </w:p>
        <w:p w14:paraId="537D86E5">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_Toc31791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附图4</w:t>
          </w:r>
          <w:r>
            <w:rPr>
              <w:rFonts w:hint="eastAsia" w:ascii="宋体" w:hAnsi="宋体" w:cs="宋体"/>
              <w:szCs w:val="28"/>
              <w:lang w:val="en-US" w:eastAsia="zh-CN"/>
            </w:rPr>
            <w:t>：</w:t>
          </w:r>
          <w:r>
            <w:rPr>
              <w:rFonts w:hint="eastAsia" w:ascii="宋体" w:hAnsi="宋体" w:eastAsia="宋体" w:cs="宋体"/>
              <w:szCs w:val="28"/>
              <w:lang w:val="en-US" w:eastAsia="zh-CN"/>
            </w:rPr>
            <w:t>白鹤街道饮用水水源地及固定、移动风险源分布图</w:t>
          </w:r>
          <w:r>
            <w:tab/>
          </w:r>
          <w:r>
            <w:fldChar w:fldCharType="begin"/>
          </w:r>
          <w:r>
            <w:instrText xml:space="preserve"> PAGEREF _Toc31791 \h </w:instrText>
          </w:r>
          <w:r>
            <w:fldChar w:fldCharType="separate"/>
          </w:r>
          <w:r>
            <w:t>44</w:t>
          </w:r>
          <w:r>
            <w:fldChar w:fldCharType="end"/>
          </w:r>
          <w:r>
            <w:rPr>
              <w:rFonts w:hint="eastAsia" w:asciiTheme="minorEastAsia" w:hAnsiTheme="minorEastAsia" w:eastAsiaTheme="minorEastAsia" w:cstheme="minorEastAsia"/>
              <w:bCs/>
              <w:szCs w:val="32"/>
            </w:rPr>
            <w:fldChar w:fldCharType="end"/>
          </w:r>
        </w:p>
        <w:p w14:paraId="59C9CB80">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_Toc27121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附图5</w:t>
          </w:r>
          <w:r>
            <w:rPr>
              <w:rFonts w:hint="eastAsia" w:ascii="宋体" w:hAnsi="宋体" w:cs="宋体"/>
              <w:szCs w:val="28"/>
              <w:lang w:val="en-US" w:eastAsia="zh-CN"/>
            </w:rPr>
            <w:t>：</w:t>
          </w:r>
          <w:r>
            <w:rPr>
              <w:rFonts w:hint="eastAsia" w:ascii="宋体" w:hAnsi="宋体" w:eastAsia="宋体" w:cs="宋体"/>
              <w:szCs w:val="28"/>
              <w:lang w:val="en-US" w:eastAsia="zh-CN"/>
            </w:rPr>
            <w:t>突发环境事件应急物资分布图</w:t>
          </w:r>
          <w:r>
            <w:tab/>
          </w:r>
          <w:r>
            <w:fldChar w:fldCharType="begin"/>
          </w:r>
          <w:r>
            <w:instrText xml:space="preserve"> PAGEREF _Toc27121 \h </w:instrText>
          </w:r>
          <w:r>
            <w:fldChar w:fldCharType="separate"/>
          </w:r>
          <w:r>
            <w:t>45</w:t>
          </w:r>
          <w:r>
            <w:fldChar w:fldCharType="end"/>
          </w:r>
          <w:r>
            <w:rPr>
              <w:rFonts w:hint="eastAsia" w:asciiTheme="minorEastAsia" w:hAnsiTheme="minorEastAsia" w:eastAsiaTheme="minorEastAsia" w:cstheme="minorEastAsia"/>
              <w:bCs/>
              <w:szCs w:val="32"/>
            </w:rPr>
            <w:fldChar w:fldCharType="end"/>
          </w:r>
        </w:p>
        <w:p w14:paraId="017F84E6">
          <w:pPr>
            <w:pStyle w:val="14"/>
            <w:tabs>
              <w:tab w:val="right" w:leader="dot" w:pos="9026"/>
            </w:tabs>
          </w:pPr>
          <w:r>
            <w:rPr>
              <w:rFonts w:hint="eastAsia" w:asciiTheme="minorEastAsia" w:hAnsiTheme="minorEastAsia" w:eastAsiaTheme="minorEastAsia" w:cstheme="minorEastAsia"/>
              <w:bCs/>
              <w:szCs w:val="32"/>
            </w:rPr>
            <w:fldChar w:fldCharType="begin"/>
          </w:r>
          <w:r>
            <w:rPr>
              <w:rFonts w:hint="eastAsia" w:asciiTheme="minorEastAsia" w:hAnsiTheme="minorEastAsia" w:eastAsiaTheme="minorEastAsia" w:cstheme="minorEastAsia"/>
              <w:bCs/>
              <w:szCs w:val="32"/>
            </w:rPr>
            <w:instrText xml:space="preserve"> HYPERLINK \l _Toc7350 </w:instrText>
          </w:r>
          <w:r>
            <w:rPr>
              <w:rFonts w:hint="eastAsia" w:asciiTheme="minorEastAsia" w:hAnsiTheme="minorEastAsia" w:eastAsiaTheme="minorEastAsia" w:cstheme="minorEastAsia"/>
              <w:bCs/>
              <w:szCs w:val="32"/>
            </w:rPr>
            <w:fldChar w:fldCharType="separate"/>
          </w:r>
          <w:r>
            <w:rPr>
              <w:rFonts w:hint="eastAsia" w:ascii="宋体" w:hAnsi="宋体" w:eastAsia="宋体" w:cs="宋体"/>
              <w:szCs w:val="28"/>
              <w:lang w:val="en-US" w:eastAsia="zh-CN"/>
            </w:rPr>
            <w:t>附图6</w:t>
          </w:r>
          <w:r>
            <w:rPr>
              <w:rFonts w:hint="eastAsia" w:ascii="宋体" w:hAnsi="宋体" w:cs="宋体"/>
              <w:szCs w:val="28"/>
              <w:lang w:val="en-US" w:eastAsia="zh-CN"/>
            </w:rPr>
            <w:t>：</w:t>
          </w:r>
          <w:r>
            <w:rPr>
              <w:rFonts w:hint="eastAsia" w:ascii="宋体" w:hAnsi="宋体" w:eastAsia="宋体" w:cs="宋体"/>
              <w:szCs w:val="28"/>
              <w:lang w:val="en-US" w:eastAsia="zh-CN"/>
            </w:rPr>
            <w:t>饮用水源地监测点位分布图</w:t>
          </w:r>
          <w:r>
            <w:tab/>
          </w:r>
          <w:r>
            <w:fldChar w:fldCharType="begin"/>
          </w:r>
          <w:r>
            <w:instrText xml:space="preserve"> PAGEREF _Toc7350 \h </w:instrText>
          </w:r>
          <w:r>
            <w:fldChar w:fldCharType="separate"/>
          </w:r>
          <w:r>
            <w:t>46</w:t>
          </w:r>
          <w:r>
            <w:fldChar w:fldCharType="end"/>
          </w:r>
          <w:r>
            <w:rPr>
              <w:rFonts w:hint="eastAsia" w:asciiTheme="minorEastAsia" w:hAnsiTheme="minorEastAsia" w:eastAsiaTheme="minorEastAsia" w:cstheme="minorEastAsia"/>
              <w:bCs/>
              <w:szCs w:val="32"/>
            </w:rPr>
            <w:fldChar w:fldCharType="end"/>
          </w:r>
        </w:p>
        <w:p w14:paraId="45CF907B">
          <w:pPr>
            <w:pStyle w:val="2"/>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kern w:val="2"/>
              <w:sz w:val="32"/>
              <w:szCs w:val="32"/>
              <w:lang w:val="zh-CN" w:eastAsia="zh-CN" w:bidi="zh-CN"/>
            </w:rPr>
          </w:pPr>
          <w:r>
            <w:rPr>
              <w:rFonts w:hint="eastAsia" w:asciiTheme="minorEastAsia" w:hAnsiTheme="minorEastAsia" w:eastAsiaTheme="minorEastAsia" w:cstheme="minorEastAsia"/>
              <w:bCs/>
              <w:szCs w:val="32"/>
            </w:rPr>
            <w:fldChar w:fldCharType="end"/>
          </w:r>
        </w:p>
      </w:sdtContent>
    </w:sdt>
    <w:p w14:paraId="6E983EBD">
      <w:pPr>
        <w:pStyle w:val="2"/>
        <w:pageBreakBefore w:val="0"/>
        <w:widowControl w:val="0"/>
        <w:kinsoku/>
        <w:wordWrap/>
        <w:overflowPunct/>
        <w:topLinePunct w:val="0"/>
        <w:autoSpaceDE/>
        <w:autoSpaceDN/>
        <w:bidi w:val="0"/>
        <w:adjustRightInd/>
        <w:snapToGrid/>
        <w:spacing w:line="360" w:lineRule="auto"/>
        <w:ind w:left="0" w:leftChars="0"/>
        <w:jc w:val="center"/>
        <w:textAlignment w:val="auto"/>
        <w:outlineLvl w:val="9"/>
        <w:rPr>
          <w:rFonts w:hint="eastAsia" w:asciiTheme="minorEastAsia" w:hAnsiTheme="minorEastAsia" w:eastAsiaTheme="minorEastAsia" w:cstheme="minorEastAsia"/>
          <w:b/>
          <w:bCs/>
          <w:kern w:val="2"/>
          <w:sz w:val="32"/>
          <w:szCs w:val="32"/>
          <w:lang w:val="zh-CN" w:eastAsia="zh-CN" w:bidi="zh-CN"/>
        </w:rPr>
        <w:sectPr>
          <w:footerReference r:id="rId6" w:type="first"/>
          <w:headerReference r:id="rId3" w:type="default"/>
          <w:footerReference r:id="rId4" w:type="default"/>
          <w:footerReference r:id="rId5" w:type="even"/>
          <w:pgSz w:w="11906" w:h="16838"/>
          <w:pgMar w:top="1440" w:right="1440" w:bottom="1440" w:left="1440" w:header="1134" w:footer="992" w:gutter="0"/>
          <w:pgBorders>
            <w:top w:val="none" w:sz="0" w:space="0"/>
            <w:left w:val="none" w:sz="0" w:space="0"/>
            <w:bottom w:val="none" w:sz="0" w:space="0"/>
            <w:right w:val="none" w:sz="0" w:space="0"/>
          </w:pgBorders>
          <w:pgNumType w:fmt="decimal" w:start="1"/>
          <w:cols w:space="720" w:num="1"/>
          <w:docGrid w:type="lines" w:linePitch="318" w:charSpace="0"/>
        </w:sectPr>
      </w:pPr>
    </w:p>
    <w:p w14:paraId="231F5401">
      <w:pPr>
        <w:pStyle w:val="15"/>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9"/>
          <w:rFonts w:hint="eastAsia" w:ascii="宋体" w:hAnsi="宋体" w:eastAsia="宋体" w:cs="宋体"/>
          <w:b/>
          <w:bCs/>
          <w:color w:val="000000"/>
          <w:sz w:val="32"/>
          <w:szCs w:val="32"/>
          <w:lang w:val="en-US" w:eastAsia="zh-CN"/>
        </w:rPr>
      </w:pPr>
      <w:bookmarkStart w:id="0" w:name="_Toc23319"/>
      <w:bookmarkStart w:id="1" w:name="_Toc4877"/>
      <w:r>
        <w:rPr>
          <w:rStyle w:val="19"/>
          <w:rFonts w:hint="eastAsia" w:ascii="宋体" w:hAnsi="宋体" w:eastAsia="宋体" w:cs="宋体"/>
          <w:b/>
          <w:bCs/>
          <w:color w:val="000000"/>
          <w:sz w:val="32"/>
          <w:szCs w:val="32"/>
          <w:lang w:val="en-US" w:eastAsia="zh-CN"/>
        </w:rPr>
        <w:t>1总则</w:t>
      </w:r>
      <w:bookmarkEnd w:id="0"/>
      <w:bookmarkEnd w:id="1"/>
    </w:p>
    <w:p w14:paraId="2FDD4913">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2" w:name="_Toc288137727"/>
      <w:bookmarkStart w:id="3" w:name="_Toc26600"/>
      <w:bookmarkStart w:id="4" w:name="_Toc24517"/>
      <w:r>
        <w:rPr>
          <w:rFonts w:hint="eastAsia" w:ascii="宋体" w:hAnsi="宋体" w:eastAsia="宋体" w:cs="宋体"/>
          <w:b/>
          <w:bCs/>
          <w:color w:val="000000"/>
          <w:sz w:val="28"/>
          <w:szCs w:val="28"/>
        </w:rPr>
        <w:t>1.1</w:t>
      </w:r>
      <w:bookmarkEnd w:id="2"/>
      <w:r>
        <w:rPr>
          <w:rFonts w:hint="eastAsia" w:ascii="宋体" w:hAnsi="宋体" w:cs="宋体"/>
          <w:b/>
          <w:bCs/>
          <w:color w:val="000000"/>
          <w:sz w:val="28"/>
          <w:szCs w:val="28"/>
          <w:lang w:val="en-US" w:eastAsia="zh-CN"/>
        </w:rPr>
        <w:t xml:space="preserve"> </w:t>
      </w:r>
      <w:r>
        <w:rPr>
          <w:rFonts w:hint="eastAsia" w:ascii="宋体" w:hAnsi="宋体" w:eastAsia="宋体" w:cs="宋体"/>
          <w:b/>
          <w:bCs/>
          <w:color w:val="000000"/>
          <w:sz w:val="28"/>
          <w:szCs w:val="28"/>
        </w:rPr>
        <w:t>编制目的</w:t>
      </w:r>
      <w:bookmarkEnd w:id="3"/>
      <w:bookmarkEnd w:id="4"/>
    </w:p>
    <w:p w14:paraId="2638DC2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为建立健全水环境污染事件应急机制，有效预防和减少突发环境事件的发生，快速、科学地进行突发环境事件的应急处置，全面提高应对</w:t>
      </w: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突发环境事件的能力，有效应对</w:t>
      </w: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（以下简称水源地）突发环境事件，最大程度降低突发环境事件对水源地水质影响，规范水源地突发环境事件应对的各项工作，特制定本预案。并为开州区生态环境局及相关部门制定应急预案提供支撑。</w:t>
      </w:r>
    </w:p>
    <w:p w14:paraId="5E46F5B8">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5" w:name="_Toc288137728"/>
      <w:bookmarkStart w:id="6" w:name="_Toc16888"/>
      <w:bookmarkStart w:id="7" w:name="_Toc12629"/>
      <w:r>
        <w:rPr>
          <w:rFonts w:hint="eastAsia" w:ascii="宋体" w:hAnsi="宋体" w:eastAsia="宋体" w:cs="宋体"/>
          <w:b/>
          <w:bCs/>
          <w:color w:val="000000"/>
          <w:sz w:val="28"/>
          <w:szCs w:val="28"/>
        </w:rPr>
        <w:t>1.2</w:t>
      </w:r>
      <w:bookmarkEnd w:id="5"/>
      <w:r>
        <w:rPr>
          <w:rFonts w:hint="eastAsia" w:ascii="宋体" w:hAnsi="宋体" w:eastAsia="宋体" w:cs="宋体"/>
          <w:b/>
          <w:bCs/>
          <w:color w:val="000000"/>
          <w:sz w:val="28"/>
          <w:szCs w:val="28"/>
          <w:lang w:val="en-US" w:eastAsia="zh-CN"/>
        </w:rPr>
        <w:t xml:space="preserve"> </w:t>
      </w:r>
      <w:r>
        <w:rPr>
          <w:rFonts w:hint="eastAsia" w:ascii="宋体" w:hAnsi="宋体" w:eastAsia="宋体" w:cs="宋体"/>
          <w:b/>
          <w:bCs/>
          <w:color w:val="000000"/>
          <w:sz w:val="28"/>
          <w:szCs w:val="28"/>
        </w:rPr>
        <w:t>适用范围</w:t>
      </w:r>
      <w:bookmarkEnd w:id="6"/>
      <w:bookmarkEnd w:id="7"/>
    </w:p>
    <w:p w14:paraId="0EB9974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本预案适用于</w:t>
      </w: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保护区内环境污染、破坏事件、输水管道、自然灾害造成的危及人体健康的环境事件及其他影响</w:t>
      </w: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水质的</w:t>
      </w:r>
      <w:r>
        <w:rPr>
          <w:rFonts w:hint="eastAsia" w:cs="宋体"/>
          <w:color w:val="auto"/>
          <w:sz w:val="28"/>
          <w:szCs w:val="28"/>
          <w:lang w:val="en-US" w:eastAsia="zh-CN"/>
        </w:rPr>
        <w:t>其他</w:t>
      </w:r>
      <w:r>
        <w:rPr>
          <w:rFonts w:hint="eastAsia" w:ascii="宋体" w:hAnsi="宋体" w:eastAsia="宋体" w:cs="宋体"/>
          <w:color w:val="auto"/>
          <w:sz w:val="28"/>
          <w:szCs w:val="28"/>
          <w:lang w:val="en-US" w:eastAsia="zh-CN"/>
        </w:rPr>
        <w:t>严重污染事件等重污染事件。</w:t>
      </w:r>
    </w:p>
    <w:p w14:paraId="1432F8B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8" w:name="_Toc29315"/>
      <w:bookmarkStart w:id="9" w:name="_Toc24407"/>
      <w:r>
        <w:rPr>
          <w:rFonts w:hint="eastAsia" w:ascii="宋体" w:hAnsi="宋体" w:eastAsia="宋体" w:cs="宋体"/>
          <w:b/>
          <w:bCs/>
          <w:color w:val="000000"/>
          <w:sz w:val="28"/>
          <w:szCs w:val="28"/>
        </w:rPr>
        <w:t>1.3</w:t>
      </w:r>
      <w:r>
        <w:rPr>
          <w:rFonts w:hint="eastAsia" w:ascii="宋体" w:hAnsi="宋体" w:eastAsia="宋体" w:cs="宋体"/>
          <w:b/>
          <w:bCs/>
          <w:color w:val="000000"/>
          <w:sz w:val="28"/>
          <w:szCs w:val="28"/>
          <w:lang w:val="en-US" w:eastAsia="zh-CN"/>
        </w:rPr>
        <w:t xml:space="preserve"> </w:t>
      </w:r>
      <w:r>
        <w:rPr>
          <w:rFonts w:hint="eastAsia" w:ascii="宋体" w:hAnsi="宋体" w:eastAsia="宋体" w:cs="宋体"/>
          <w:b/>
          <w:bCs/>
          <w:color w:val="000000"/>
          <w:sz w:val="28"/>
          <w:szCs w:val="28"/>
        </w:rPr>
        <w:t>编制依据</w:t>
      </w:r>
      <w:bookmarkEnd w:id="8"/>
      <w:bookmarkEnd w:id="9"/>
    </w:p>
    <w:p w14:paraId="13754B8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《中华人民共和国环境保护法》(主席令第9号，2015)；</w:t>
      </w:r>
    </w:p>
    <w:p w14:paraId="21A59BE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《中华人民共和国水污染防治法》(主席令第87号，2017年修订版)；</w:t>
      </w:r>
    </w:p>
    <w:p w14:paraId="72EB6B1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《中华人民共和国突发事件应对法》(主席令第25号，2024)；</w:t>
      </w:r>
    </w:p>
    <w:p w14:paraId="1C1F991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《国家突发环境事件应急预案》（国办函〔2014〕119号）；</w:t>
      </w:r>
    </w:p>
    <w:p w14:paraId="643B66D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《国务院关于加强环境保护重点工作的意见》（国发〔2011〕35号）；</w:t>
      </w:r>
    </w:p>
    <w:p w14:paraId="76C17E6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《突发事件应急预案管理办法》（国办发〔20</w:t>
      </w:r>
      <w:r>
        <w:rPr>
          <w:rFonts w:hint="eastAsia" w:cs="宋体"/>
          <w:color w:val="auto"/>
          <w:sz w:val="28"/>
          <w:szCs w:val="28"/>
          <w:lang w:val="en-US" w:eastAsia="zh-CN"/>
        </w:rPr>
        <w:t>25</w:t>
      </w:r>
      <w:r>
        <w:rPr>
          <w:rFonts w:hint="eastAsia" w:ascii="宋体" w:hAnsi="宋体" w:eastAsia="宋体" w:cs="宋体"/>
          <w:color w:val="auto"/>
          <w:sz w:val="28"/>
          <w:szCs w:val="28"/>
          <w:lang w:val="en-US" w:eastAsia="zh-CN"/>
        </w:rPr>
        <w:t>〕</w:t>
      </w:r>
      <w:r>
        <w:rPr>
          <w:rFonts w:hint="eastAsia" w:cs="宋体"/>
          <w:color w:val="auto"/>
          <w:sz w:val="28"/>
          <w:szCs w:val="28"/>
          <w:lang w:val="en-US" w:eastAsia="zh-CN"/>
        </w:rPr>
        <w:t>5</w:t>
      </w:r>
      <w:r>
        <w:rPr>
          <w:rFonts w:hint="eastAsia" w:ascii="宋体" w:hAnsi="宋体" w:eastAsia="宋体" w:cs="宋体"/>
          <w:color w:val="auto"/>
          <w:sz w:val="28"/>
          <w:szCs w:val="28"/>
          <w:lang w:val="en-US" w:eastAsia="zh-CN"/>
        </w:rPr>
        <w:t>号）；</w:t>
      </w:r>
    </w:p>
    <w:p w14:paraId="5DB3E8B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《企业事业单位突发环境事件应急预案备案管理办法（试行）》（环发〔2015〕4号）；</w:t>
      </w:r>
    </w:p>
    <w:p w14:paraId="7704DBC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《企业突发环境事件隐患排查和治理工作指南（试行）》（环境保护部公告2016年第74号）；</w:t>
      </w:r>
    </w:p>
    <w:p w14:paraId="79CEB02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《突发环境事件应急监测技术规范》（HJ 589-2010）；</w:t>
      </w:r>
    </w:p>
    <w:p w14:paraId="3E79326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《突发环境事件信息报告办法》（环境保护部令第17号，2011）；</w:t>
      </w:r>
    </w:p>
    <w:p w14:paraId="301F595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《城市供水条例》（中华人民共和国国务院令第158号，1994）；</w:t>
      </w:r>
    </w:p>
    <w:p w14:paraId="108D01A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《城市供水水质管理规定》（中华人民共和国建设部令第156号，2006）；</w:t>
      </w:r>
    </w:p>
    <w:p w14:paraId="0B4360F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《生活饮用水卫生监督管理办法》（中华人民共和国城乡建设部、卫生计生委令第31号，2016）；</w:t>
      </w:r>
    </w:p>
    <w:p w14:paraId="69B30D2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《重庆市环境保护管理条例》（2018年修订）；</w:t>
      </w:r>
    </w:p>
    <w:p w14:paraId="0594B51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《重庆市长江三峡库区流域水污染防治条例》（重庆市人大常委会公告〔2011〕26号）；</w:t>
      </w:r>
    </w:p>
    <w:p w14:paraId="7085C23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《重庆市饮用水源污染防治办法》（重庆市人民政府令第159号，2003）；</w:t>
      </w:r>
    </w:p>
    <w:p w14:paraId="2116DAB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《重庆市城市供水节水管理条例》（重庆市人大常委会公告〔1999〕111号，2012年11月29日修订）；</w:t>
      </w:r>
    </w:p>
    <w:p w14:paraId="053E076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《重庆市村镇供水条例》重庆市人民代表大会常务委员会公告〔2016〕第55号</w:t>
      </w:r>
    </w:p>
    <w:p w14:paraId="52BB3D5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《重庆市突发事件应对条例》（重庆市人大常委会公告〔2012〕9号）；</w:t>
      </w:r>
    </w:p>
    <w:p w14:paraId="066790F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《重庆市人民政府突发公共事件总体应急预案》（2007）；</w:t>
      </w:r>
    </w:p>
    <w:p w14:paraId="7DEE75D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《重庆市人民政府办公厅关于调整万州区等31个区县（自治县）集中式饮用水源保护区的通知》(府办[2013]40号)；</w:t>
      </w:r>
    </w:p>
    <w:p w14:paraId="14E7412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《重庆市政府办公厅关于调整万州区等36个区县（自治县）集中式饮用水水源保护区调整方案》（渝府办[2016]19号）；</w:t>
      </w:r>
    </w:p>
    <w:p w14:paraId="5B7AAB5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《重庆市人民政府办公厅关于印发万州区等区县(开发区)集中式饮用水源地保护区划分及调整方案的通知》（渝府办[2018]7号）；</w:t>
      </w:r>
    </w:p>
    <w:p w14:paraId="4D4F328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《突发环境事件应急预案管理暂行办法》（2010）113号印发；</w:t>
      </w:r>
    </w:p>
    <w:p w14:paraId="3B7467B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《重庆市三峡库区流域水环境突发事件应急预案》；</w:t>
      </w:r>
      <w:bookmarkStart w:id="10" w:name="OLE_LINK10"/>
    </w:p>
    <w:p w14:paraId="62FA902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w:t>
      </w:r>
      <w:bookmarkEnd w:id="10"/>
      <w:r>
        <w:rPr>
          <w:rFonts w:hint="eastAsia" w:ascii="宋体" w:hAnsi="宋体" w:eastAsia="宋体" w:cs="宋体"/>
          <w:color w:val="auto"/>
          <w:sz w:val="28"/>
          <w:szCs w:val="28"/>
          <w:lang w:val="en-US" w:eastAsia="zh-CN"/>
        </w:rPr>
        <w:t>开州区突发环境事件应急预案》；</w:t>
      </w:r>
    </w:p>
    <w:p w14:paraId="63D59BA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w:t>
      </w:r>
      <w:bookmarkStart w:id="11" w:name="OLE_LINK40"/>
      <w:r>
        <w:rPr>
          <w:rFonts w:hint="eastAsia" w:ascii="宋体" w:hAnsi="宋体" w:eastAsia="宋体" w:cs="宋体"/>
          <w:color w:val="auto"/>
          <w:sz w:val="28"/>
          <w:szCs w:val="28"/>
          <w:lang w:val="en-US" w:eastAsia="zh-CN"/>
        </w:rPr>
        <w:t>开州区饮用水源地突发环境事件应急预案</w:t>
      </w:r>
      <w:bookmarkEnd w:id="11"/>
      <w:r>
        <w:rPr>
          <w:rFonts w:hint="eastAsia" w:ascii="宋体" w:hAnsi="宋体" w:eastAsia="宋体" w:cs="宋体"/>
          <w:color w:val="auto"/>
          <w:sz w:val="28"/>
          <w:szCs w:val="28"/>
          <w:lang w:val="en-US" w:eastAsia="zh-CN"/>
        </w:rPr>
        <w:t>》；</w:t>
      </w:r>
    </w:p>
    <w:p w14:paraId="2C2196F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《集中式饮用水水源地规范化建设环境保护技术要求》（HJ773）；</w:t>
      </w:r>
    </w:p>
    <w:p w14:paraId="3580046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《集中式饮用水水源地环境保护状况评估技术规范》（HJ774）；</w:t>
      </w:r>
    </w:p>
    <w:p w14:paraId="3FA1BA9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《危险化学品安全管理条例》(国务院令第645号，2011年修订)；</w:t>
      </w:r>
    </w:p>
    <w:p w14:paraId="29F9EA4A">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《集中式地表水饮用水水源地突发环境事件应急预案编制指南（试行）》（公告2018年第1号）。</w:t>
      </w:r>
    </w:p>
    <w:p w14:paraId="7DA1977A">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rPr>
      </w:pPr>
      <w:bookmarkStart w:id="12" w:name="_Toc13899"/>
      <w:bookmarkStart w:id="13" w:name="_Toc386312991"/>
      <w:bookmarkStart w:id="14" w:name="_Toc15682"/>
      <w:r>
        <w:rPr>
          <w:rFonts w:hint="eastAsia" w:ascii="宋体" w:hAnsi="宋体" w:eastAsia="宋体" w:cs="宋体"/>
          <w:b/>
          <w:bCs/>
          <w:color w:val="000000"/>
          <w:sz w:val="28"/>
          <w:szCs w:val="28"/>
        </w:rPr>
        <w:t>1.</w:t>
      </w:r>
      <w:r>
        <w:rPr>
          <w:rFonts w:hint="eastAsia" w:ascii="宋体" w:hAnsi="宋体" w:eastAsia="宋体" w:cs="宋体"/>
          <w:b/>
          <w:bCs/>
          <w:color w:val="000000"/>
          <w:sz w:val="28"/>
          <w:szCs w:val="28"/>
          <w:lang w:val="en-US" w:eastAsia="zh-CN"/>
        </w:rPr>
        <w:t xml:space="preserve">4 </w:t>
      </w:r>
      <w:r>
        <w:rPr>
          <w:rFonts w:hint="eastAsia" w:ascii="宋体" w:hAnsi="宋体" w:eastAsia="宋体" w:cs="宋体"/>
          <w:b/>
          <w:bCs/>
          <w:color w:val="000000"/>
          <w:sz w:val="28"/>
          <w:szCs w:val="28"/>
        </w:rPr>
        <w:t>工作原则</w:t>
      </w:r>
      <w:bookmarkEnd w:id="12"/>
      <w:bookmarkEnd w:id="13"/>
      <w:bookmarkEnd w:id="14"/>
    </w:p>
    <w:p w14:paraId="3ED188B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在建立突发性环境污染事件应急系统及其响应程序时，本着实事求是、切实可行的方针，贯彻如下原则：</w:t>
      </w:r>
    </w:p>
    <w:p w14:paraId="26830B7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（1）救人第一、环境优先；</w:t>
      </w:r>
    </w:p>
    <w:p w14:paraId="77CB152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（2）先期处置、防止危害扩大；</w:t>
      </w:r>
    </w:p>
    <w:p w14:paraId="00141CC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（3）快速响应、科学应对；</w:t>
      </w:r>
    </w:p>
    <w:p w14:paraId="4505EA9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（4）应急工作与岗位职责相结合。</w:t>
      </w:r>
    </w:p>
    <w:p w14:paraId="1F6CC92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zh-CN"/>
        </w:rPr>
      </w:pPr>
      <w:bookmarkStart w:id="15" w:name="_Toc23746"/>
      <w:bookmarkStart w:id="16" w:name="_Toc15256"/>
      <w:bookmarkStart w:id="17" w:name="_Toc6758"/>
      <w:bookmarkStart w:id="18" w:name="_Toc30184"/>
      <w:bookmarkStart w:id="19" w:name="_Toc295467917"/>
      <w:bookmarkStart w:id="20" w:name="_Toc294080711"/>
      <w:r>
        <w:rPr>
          <w:rFonts w:hint="eastAsia" w:ascii="宋体" w:hAnsi="宋体" w:eastAsia="宋体" w:cs="宋体"/>
          <w:b/>
          <w:bCs/>
          <w:color w:val="000000"/>
          <w:sz w:val="28"/>
          <w:szCs w:val="28"/>
          <w:lang w:val="zh-CN"/>
        </w:rPr>
        <w:t>1.</w:t>
      </w:r>
      <w:r>
        <w:rPr>
          <w:rFonts w:hint="eastAsia" w:ascii="宋体" w:hAnsi="宋体" w:eastAsia="宋体" w:cs="宋体"/>
          <w:b/>
          <w:bCs/>
          <w:color w:val="000000"/>
          <w:sz w:val="28"/>
          <w:szCs w:val="28"/>
          <w:lang w:val="en-US" w:eastAsia="zh-CN"/>
        </w:rPr>
        <w:t xml:space="preserve">5 </w:t>
      </w:r>
      <w:r>
        <w:rPr>
          <w:rFonts w:hint="eastAsia" w:ascii="宋体" w:hAnsi="宋体" w:eastAsia="宋体" w:cs="宋体"/>
          <w:b/>
          <w:bCs/>
          <w:color w:val="000000"/>
          <w:sz w:val="28"/>
          <w:szCs w:val="28"/>
          <w:lang w:val="zh-CN"/>
        </w:rPr>
        <w:t>应急预案体系</w:t>
      </w:r>
      <w:bookmarkEnd w:id="15"/>
      <w:bookmarkEnd w:id="16"/>
      <w:bookmarkEnd w:id="17"/>
      <w:bookmarkEnd w:id="18"/>
      <w:bookmarkEnd w:id="19"/>
      <w:bookmarkEnd w:id="20"/>
    </w:p>
    <w:p w14:paraId="107836C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本预案为</w:t>
      </w: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突发环境事件应急预案，该预案与《开州区突发环境事件应急预案》《重庆市开州区集中式饮用水源地突发环境事件应急预案》</w:t>
      </w:r>
      <w:r>
        <w:rPr>
          <w:rFonts w:hint="eastAsia" w:cs="宋体"/>
          <w:color w:val="auto"/>
          <w:sz w:val="28"/>
          <w:szCs w:val="28"/>
          <w:lang w:val="en-US" w:eastAsia="zh-CN"/>
        </w:rPr>
        <w:t>《重庆市开州区白鹤街道突发环境事件应急预案》</w:t>
      </w:r>
      <w:r>
        <w:rPr>
          <w:rFonts w:hint="eastAsia" w:ascii="宋体" w:hAnsi="宋体" w:eastAsia="宋体" w:cs="宋体"/>
          <w:color w:val="auto"/>
          <w:sz w:val="28"/>
          <w:szCs w:val="28"/>
          <w:lang w:val="en-US" w:eastAsia="zh-CN"/>
        </w:rPr>
        <w:t>相衔接。</w:t>
      </w:r>
    </w:p>
    <w:p w14:paraId="1FE157FA">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应急预案体系组成结构见：图1.5-1。</w:t>
      </w:r>
    </w:p>
    <w:p w14:paraId="00DA566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0" w:firstLineChars="0"/>
        <w:jc w:val="center"/>
        <w:textAlignment w:val="auto"/>
        <w:rPr>
          <w:rFonts w:hint="default" w:hAnsi="宋体"/>
          <w:b/>
          <w:bCs/>
          <w:sz w:val="24"/>
          <w:szCs w:val="24"/>
        </w:rPr>
      </w:pPr>
      <w:r>
        <w:rPr>
          <w:rFonts w:hint="eastAsia" w:hAnsi="宋体"/>
          <w:b/>
          <w:bCs/>
          <w:sz w:val="24"/>
          <w:szCs w:val="24"/>
          <w:lang w:val="en-US" w:eastAsia="zh-CN"/>
        </w:rPr>
        <w:drawing>
          <wp:anchor distT="0" distB="0" distL="114300" distR="114300" simplePos="0" relativeHeight="251659264" behindDoc="0" locked="0" layoutInCell="1" allowOverlap="1">
            <wp:simplePos x="0" y="0"/>
            <wp:positionH relativeFrom="column">
              <wp:posOffset>-28575</wp:posOffset>
            </wp:positionH>
            <wp:positionV relativeFrom="paragraph">
              <wp:posOffset>86360</wp:posOffset>
            </wp:positionV>
            <wp:extent cx="5696585" cy="2886710"/>
            <wp:effectExtent l="0" t="0" r="18415" b="8890"/>
            <wp:wrapTopAndBottom/>
            <wp:docPr id="1" name="F360BE8B-6686-4F3D-AEAF-501FE73E4058-1" descr="C:/Users/张龙坤/AppData/Local/Temp/绘图1.png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1" descr="C:/Users/张龙坤/AppData/Local/Temp/绘图1.png绘图1"/>
                    <pic:cNvPicPr>
                      <a:picLocks noChangeAspect="1"/>
                    </pic:cNvPicPr>
                  </pic:nvPicPr>
                  <pic:blipFill>
                    <a:blip r:embed="rId12"/>
                    <a:stretch>
                      <a:fillRect/>
                    </a:stretch>
                  </pic:blipFill>
                  <pic:spPr>
                    <a:xfrm>
                      <a:off x="0" y="0"/>
                      <a:ext cx="5696712" cy="2886456"/>
                    </a:xfrm>
                    <a:prstGeom prst="rect">
                      <a:avLst/>
                    </a:prstGeom>
                  </pic:spPr>
                </pic:pic>
              </a:graphicData>
            </a:graphic>
          </wp:anchor>
        </w:drawing>
      </w:r>
      <w:r>
        <w:rPr>
          <w:rFonts w:hint="eastAsia" w:hAnsi="宋体"/>
          <w:b/>
          <w:bCs/>
          <w:sz w:val="24"/>
          <w:szCs w:val="24"/>
          <w:lang w:val="en-US" w:eastAsia="zh-CN"/>
        </w:rPr>
        <w:t xml:space="preserve">图1.5-1 </w:t>
      </w:r>
      <w:r>
        <w:rPr>
          <w:rFonts w:hint="default" w:hAnsi="宋体"/>
          <w:b/>
          <w:bCs/>
          <w:sz w:val="24"/>
          <w:szCs w:val="24"/>
        </w:rPr>
        <w:t>预案体系结构图</w:t>
      </w:r>
    </w:p>
    <w:p w14:paraId="5156264F">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1" w:name="_Toc2501"/>
      <w:r>
        <w:rPr>
          <w:rFonts w:hint="eastAsia" w:ascii="宋体" w:hAnsi="宋体" w:eastAsia="宋体" w:cs="宋体"/>
          <w:b/>
          <w:bCs/>
          <w:color w:val="000000"/>
          <w:sz w:val="28"/>
          <w:szCs w:val="28"/>
          <w:lang w:val="en-US" w:eastAsia="zh-CN"/>
        </w:rPr>
        <w:t>1.6 事件分级</w:t>
      </w:r>
      <w:bookmarkEnd w:id="21"/>
    </w:p>
    <w:p w14:paraId="15251C8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按照突发环境事件的严重性和紧急程度，突发环境事件分为特别重大环境事件（Ⅰ级）、重大环境事件（Ⅱ级）、较大环境事件（Ⅲ级）和一般环境事件（Ⅳ级）四级。预警分级颜色依次为红色、橙色、黄色和蓝色。</w:t>
      </w:r>
    </w:p>
    <w:p w14:paraId="2DCA2EB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1.特别重大（Ⅰ级）突发环境事件。</w:t>
      </w:r>
    </w:p>
    <w:p w14:paraId="2416889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凡符合下列情形之一的，为特别重大突发环境事件：</w:t>
      </w:r>
    </w:p>
    <w:p w14:paraId="5D505F6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（1）因突发环境事件，造成主要水源地供水中断，影响居民生活，经济损失1000万元以上。</w:t>
      </w:r>
    </w:p>
    <w:p w14:paraId="597AC71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（2）因突发环境事件造成饮用水源严重污染，导致100人以上中毒。</w:t>
      </w:r>
    </w:p>
    <w:p w14:paraId="1A0E24F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（3）发生大面积水华（藻类数量达到108个/升，区段河长≥10 公里）并造成严重的饮用水源污染的。</w:t>
      </w:r>
    </w:p>
    <w:p w14:paraId="688C2B3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2.重大（Ⅱ级）突发环境事件。</w:t>
      </w:r>
    </w:p>
    <w:p w14:paraId="7D0442B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凡符合下列情形之一的，为重大突发环境事件：</w:t>
      </w:r>
    </w:p>
    <w:p w14:paraId="6B8A522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（1）因突发环境事件，部分水厂供水中断，大面积供水受到影响,经济损失500万元以上、1000万元以下。</w:t>
      </w:r>
    </w:p>
    <w:p w14:paraId="4093D40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（2）因突发环境事件造成饮用水源严重污染，导致50人以上、100人以下中毒。</w:t>
      </w:r>
    </w:p>
    <w:p w14:paraId="21CE71E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（3）因环境污染造成涪江大面积污染，导致</w:t>
      </w:r>
      <w:bookmarkStart w:id="22" w:name="OLE_LINK11"/>
      <w:r>
        <w:rPr>
          <w:rFonts w:hint="eastAsia" w:ascii="宋体" w:hAnsi="宋体" w:eastAsia="宋体" w:cs="宋体"/>
          <w:color w:val="auto"/>
          <w:sz w:val="28"/>
          <w:szCs w:val="28"/>
          <w:lang w:val="en-US" w:eastAsia="zh-CN"/>
        </w:rPr>
        <w:t>合川城区集中式饮用水源</w:t>
      </w:r>
      <w:bookmarkEnd w:id="22"/>
      <w:r>
        <w:rPr>
          <w:rFonts w:hint="eastAsia" w:ascii="宋体" w:hAnsi="宋体" w:eastAsia="宋体" w:cs="宋体"/>
          <w:color w:val="auto"/>
          <w:sz w:val="28"/>
          <w:szCs w:val="28"/>
          <w:lang w:val="en-US" w:eastAsia="zh-CN"/>
        </w:rPr>
        <w:t>地取水中断的。</w:t>
      </w:r>
    </w:p>
    <w:p w14:paraId="406BC1C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（4）发生大面积水华（藻类数量达到108个/升，区段河长≥6公里）并造成较为严重的饮用水源污染的。</w:t>
      </w:r>
    </w:p>
    <w:p w14:paraId="6894C1E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3.较大（Ⅲ级）突发环境事件。</w:t>
      </w:r>
    </w:p>
    <w:p w14:paraId="230F034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凡符合下列情形之一的，为较大突发环境事件：</w:t>
      </w:r>
    </w:p>
    <w:p w14:paraId="5272270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（1）因突发环境事件，造成暂时性停水，影响部分居民生活，经济损失10万元以上、500万元以下。</w:t>
      </w:r>
    </w:p>
    <w:p w14:paraId="0CDF211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（2）因突发环境事件造成饮用水源严重污染，导致10人以上、50人以下中毒。</w:t>
      </w:r>
    </w:p>
    <w:p w14:paraId="7D28D06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（3）因环境污染造成乡镇饮用水源地取水中断的。</w:t>
      </w:r>
    </w:p>
    <w:p w14:paraId="4CD25C5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（4）发生大面积水华（藻类数量达到108个/升，区段河长≥3公里）并造成饮用水源污染的。</w:t>
      </w:r>
    </w:p>
    <w:p w14:paraId="76D131C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4.一般（Ⅳ级）突发环境事件。</w:t>
      </w:r>
    </w:p>
    <w:p w14:paraId="342426B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（1）因饮用水源污染造成直接经济损失10万元以下的； </w:t>
      </w:r>
    </w:p>
    <w:p w14:paraId="55AC741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（2）因饮用水源污染直接导致10人以下中毒的；</w:t>
      </w:r>
    </w:p>
    <w:p w14:paraId="1BCF72F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（3）因环境污染造成</w:t>
      </w:r>
      <w:bookmarkStart w:id="23" w:name="OLE_LINK12"/>
      <w:r>
        <w:rPr>
          <w:rFonts w:hint="eastAsia" w:ascii="宋体" w:hAnsi="宋体" w:eastAsia="宋体" w:cs="宋体"/>
          <w:color w:val="auto"/>
          <w:sz w:val="28"/>
          <w:szCs w:val="28"/>
          <w:lang w:val="en-US" w:eastAsia="zh-CN"/>
        </w:rPr>
        <w:t>村、社集中式饮用水源地</w:t>
      </w:r>
      <w:bookmarkEnd w:id="23"/>
      <w:r>
        <w:rPr>
          <w:rFonts w:hint="eastAsia" w:ascii="宋体" w:hAnsi="宋体" w:eastAsia="宋体" w:cs="宋体"/>
          <w:color w:val="auto"/>
          <w:sz w:val="28"/>
          <w:szCs w:val="28"/>
          <w:lang w:val="en-US" w:eastAsia="zh-CN"/>
        </w:rPr>
        <w:t>取水中断的；</w:t>
      </w:r>
    </w:p>
    <w:p w14:paraId="4385292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sectPr>
          <w:headerReference r:id="rId7" w:type="default"/>
          <w:pgSz w:w="11906" w:h="16838"/>
          <w:pgMar w:top="1440" w:right="1800" w:bottom="1440" w:left="1800" w:header="851" w:footer="992" w:gutter="0"/>
          <w:pgNumType w:start="1"/>
          <w:cols w:space="720" w:num="1"/>
          <w:rtlGutter w:val="0"/>
          <w:docGrid w:type="lines" w:linePitch="312" w:charSpace="0"/>
        </w:sectPr>
      </w:pPr>
      <w:r>
        <w:rPr>
          <w:rFonts w:hint="eastAsia" w:ascii="宋体" w:hAnsi="宋体" w:eastAsia="宋体" w:cs="宋体"/>
          <w:color w:val="auto"/>
          <w:sz w:val="28"/>
          <w:szCs w:val="28"/>
          <w:lang w:val="en-US" w:eastAsia="zh-CN"/>
        </w:rPr>
        <w:t>（4）发生大面积水华（藻类数量达到 108个/升，区段河长＜3公里）并造成饮用水源污染的。</w:t>
      </w:r>
    </w:p>
    <w:p w14:paraId="4538A8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宋体" w:hAnsi="宋体" w:eastAsia="宋体" w:cs="宋体"/>
          <w:b/>
          <w:bCs/>
          <w:color w:val="auto"/>
          <w:kern w:val="2"/>
          <w:sz w:val="32"/>
          <w:szCs w:val="32"/>
          <w:lang w:val="en-US" w:eastAsia="zh-CN" w:bidi="ar-SA"/>
        </w:rPr>
      </w:pPr>
      <w:bookmarkStart w:id="24" w:name="_Toc20322"/>
      <w:bookmarkStart w:id="25" w:name="_Toc27083"/>
      <w:r>
        <w:rPr>
          <w:rFonts w:hint="eastAsia" w:ascii="宋体" w:hAnsi="宋体" w:eastAsia="宋体" w:cs="宋体"/>
          <w:b/>
          <w:bCs/>
          <w:color w:val="auto"/>
          <w:kern w:val="2"/>
          <w:sz w:val="32"/>
          <w:szCs w:val="32"/>
          <w:lang w:val="en-US" w:eastAsia="zh-CN" w:bidi="ar-SA"/>
        </w:rPr>
        <w:t xml:space="preserve">2 </w:t>
      </w:r>
      <w:r>
        <w:rPr>
          <w:rFonts w:hint="eastAsia" w:ascii="宋体" w:hAnsi="宋体" w:cs="宋体"/>
          <w:b/>
          <w:bCs/>
          <w:color w:val="auto"/>
          <w:kern w:val="2"/>
          <w:sz w:val="32"/>
          <w:szCs w:val="32"/>
          <w:lang w:val="en-US" w:eastAsia="zh-CN" w:bidi="ar-SA"/>
        </w:rPr>
        <w:t>重庆市开州区白鹤街道饮用水水源地</w:t>
      </w:r>
      <w:r>
        <w:rPr>
          <w:rFonts w:hint="eastAsia" w:ascii="宋体" w:hAnsi="宋体" w:eastAsia="宋体" w:cs="宋体"/>
          <w:b/>
          <w:bCs/>
          <w:color w:val="auto"/>
          <w:kern w:val="2"/>
          <w:sz w:val="32"/>
          <w:szCs w:val="32"/>
          <w:lang w:val="en-US" w:eastAsia="zh-CN" w:bidi="ar-SA"/>
        </w:rPr>
        <w:t>基础信息</w:t>
      </w:r>
      <w:bookmarkEnd w:id="24"/>
      <w:bookmarkEnd w:id="25"/>
    </w:p>
    <w:p w14:paraId="3D9D62F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6" w:name="_Toc2834"/>
      <w:bookmarkStart w:id="27" w:name="_Toc11400"/>
      <w:bookmarkStart w:id="28" w:name="_Toc32095"/>
      <w:r>
        <w:rPr>
          <w:rFonts w:hint="eastAsia" w:ascii="宋体" w:hAnsi="宋体" w:eastAsia="宋体" w:cs="宋体"/>
          <w:b/>
          <w:bCs/>
          <w:color w:val="000000"/>
          <w:sz w:val="28"/>
          <w:szCs w:val="28"/>
          <w:lang w:val="en-US" w:eastAsia="zh-CN"/>
        </w:rPr>
        <w:t xml:space="preserve">2.1 </w:t>
      </w:r>
      <w:r>
        <w:rPr>
          <w:rFonts w:hint="eastAsia" w:ascii="宋体" w:hAnsi="宋体" w:cs="宋体"/>
          <w:b/>
          <w:bCs/>
          <w:color w:val="000000"/>
          <w:sz w:val="28"/>
          <w:szCs w:val="28"/>
          <w:lang w:val="en-US" w:eastAsia="zh-CN"/>
        </w:rPr>
        <w:t>重庆市开州区白鹤街道饮用水水源地</w:t>
      </w:r>
      <w:r>
        <w:rPr>
          <w:rFonts w:hint="eastAsia" w:ascii="宋体" w:hAnsi="宋体" w:eastAsia="宋体" w:cs="宋体"/>
          <w:b/>
          <w:bCs/>
          <w:color w:val="000000"/>
          <w:sz w:val="28"/>
          <w:szCs w:val="28"/>
          <w:lang w:val="en-US" w:eastAsia="zh-CN"/>
        </w:rPr>
        <w:t>基础信息</w:t>
      </w:r>
      <w:bookmarkEnd w:id="26"/>
      <w:bookmarkEnd w:id="27"/>
      <w:bookmarkEnd w:id="28"/>
    </w:p>
    <w:p w14:paraId="39F1A11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Theme="minorEastAsia" w:hAnsiTheme="minorEastAsia" w:cstheme="minorEastAsia"/>
          <w:color w:val="auto"/>
          <w:sz w:val="28"/>
          <w:szCs w:val="28"/>
          <w:lang w:eastAsia="zh-CN"/>
        </w:rPr>
        <w:t>开州区东河白鹤水厂水源地位于白鹤街道东河上游的龙王寨，是河流型水源地。开州区东河白鹤水厂水源地代码为FB7300500234004S0001，取水点经度108°28'15.1"，纬度31°16'7.1"。开州区东河白鹤水厂取水方式采用河心泵井方式取水，泵吸式，当源水经提升泵进源水取水管后，由取水头部把水输送至配水井，水通过配水流入预沉池。在预沉池进行前加药，均匀配水后，自流进入沉淀池。在沉淀池投入后加药及前加氯，再次进行絮凝沉淀，完成后，流入V型滤池过滤。过滤后在进入清水池前投加后加氯，让氯后水在清水池充分反应，水经过清水池后流入吸水井，然后由二级泵房的水泵把水送到各用户。水厂设计取水量2000m</w:t>
      </w:r>
      <w:r>
        <w:rPr>
          <w:rFonts w:hint="eastAsia" w:asciiTheme="minorEastAsia" w:hAnsiTheme="minorEastAsia" w:cstheme="minorEastAsia"/>
          <w:color w:val="auto"/>
          <w:sz w:val="28"/>
          <w:szCs w:val="28"/>
          <w:vertAlign w:val="superscript"/>
          <w:lang w:eastAsia="zh-CN"/>
        </w:rPr>
        <w:t>3</w:t>
      </w:r>
      <w:r>
        <w:rPr>
          <w:rFonts w:hint="eastAsia" w:asciiTheme="minorEastAsia" w:hAnsiTheme="minorEastAsia" w:cstheme="minorEastAsia"/>
          <w:color w:val="auto"/>
          <w:sz w:val="28"/>
          <w:szCs w:val="28"/>
          <w:lang w:eastAsia="zh-CN"/>
        </w:rPr>
        <w:t>/天。取水水位6m，设计枯水位为10m，取水量保证率100%</w:t>
      </w:r>
      <w:r>
        <w:rPr>
          <w:rFonts w:hint="eastAsia" w:ascii="宋体" w:hAnsi="宋体" w:eastAsia="宋体" w:cs="宋体"/>
          <w:color w:val="auto"/>
          <w:sz w:val="28"/>
          <w:szCs w:val="28"/>
          <w:lang w:val="en-US" w:eastAsia="zh-CN"/>
        </w:rPr>
        <w:t>。</w:t>
      </w:r>
    </w:p>
    <w:p w14:paraId="4E1DCE2D">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29" w:name="_Toc7065"/>
      <w:r>
        <w:rPr>
          <w:rFonts w:hint="eastAsia" w:ascii="宋体" w:hAnsi="宋体" w:eastAsia="宋体" w:cs="宋体"/>
          <w:b/>
          <w:bCs/>
          <w:color w:val="000000"/>
          <w:sz w:val="28"/>
          <w:szCs w:val="28"/>
          <w:lang w:val="en-US" w:eastAsia="zh-CN"/>
        </w:rPr>
        <w:t>2.2 饮用水源地保护区划分情况简介</w:t>
      </w:r>
      <w:bookmarkEnd w:id="29"/>
    </w:p>
    <w:p w14:paraId="0EAD793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2018年5月根据重庆市人民政府办公厅《关于调整万州等区县（开发区）集中式</w:t>
      </w:r>
      <w:r>
        <w:rPr>
          <w:rFonts w:hint="eastAsia" w:cs="宋体"/>
          <w:color w:val="auto"/>
          <w:sz w:val="28"/>
          <w:szCs w:val="28"/>
          <w:lang w:val="en-US" w:eastAsia="zh-CN"/>
        </w:rPr>
        <w:t>饮用</w:t>
      </w:r>
      <w:r>
        <w:rPr>
          <w:rFonts w:hint="eastAsia" w:ascii="宋体" w:hAnsi="宋体" w:eastAsia="宋体" w:cs="宋体"/>
          <w:color w:val="auto"/>
          <w:sz w:val="28"/>
          <w:szCs w:val="28"/>
          <w:lang w:val="en-US" w:eastAsia="zh-CN"/>
        </w:rPr>
        <w:t>水源地保护区划分及调整方案的通知》（渝府办[2018]7号）要求，对饮用水厂水源地进行了调整，调整后的情况见表2.2-1。</w:t>
      </w:r>
    </w:p>
    <w:p w14:paraId="285786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表2.2-1 </w:t>
      </w:r>
      <w:r>
        <w:rPr>
          <w:rFonts w:hint="eastAsia" w:asciiTheme="minorEastAsia" w:hAnsiTheme="minorEastAsia" w:eastAsiaTheme="minorEastAsia" w:cstheme="minorEastAsia"/>
          <w:b/>
          <w:bCs/>
          <w:sz w:val="24"/>
          <w:szCs w:val="24"/>
          <w:lang w:eastAsia="zh-CN"/>
        </w:rPr>
        <w:t>重庆市开州区白鹤街道饮用水水源地调整情况表</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
        <w:gridCol w:w="743"/>
        <w:gridCol w:w="346"/>
        <w:gridCol w:w="346"/>
        <w:gridCol w:w="659"/>
        <w:gridCol w:w="292"/>
        <w:gridCol w:w="357"/>
        <w:gridCol w:w="965"/>
        <w:gridCol w:w="1399"/>
        <w:gridCol w:w="1698"/>
        <w:gridCol w:w="1428"/>
      </w:tblGrid>
      <w:tr w14:paraId="1ECFA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restart"/>
            <w:noWrap w:val="0"/>
            <w:tcMar>
              <w:top w:w="15" w:type="dxa"/>
              <w:left w:w="15" w:type="dxa"/>
              <w:bottom w:w="15" w:type="dxa"/>
              <w:right w:w="15" w:type="dxa"/>
            </w:tcMar>
            <w:vAlign w:val="center"/>
          </w:tcPr>
          <w:p w14:paraId="2B5B5D10">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0" w:type="auto"/>
            <w:vMerge w:val="restart"/>
            <w:noWrap w:val="0"/>
            <w:tcMar>
              <w:top w:w="15" w:type="dxa"/>
              <w:left w:w="15" w:type="dxa"/>
              <w:bottom w:w="15" w:type="dxa"/>
              <w:right w:w="15" w:type="dxa"/>
            </w:tcMar>
            <w:vAlign w:val="center"/>
          </w:tcPr>
          <w:p w14:paraId="0E8F3F23">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饮用水源地名称</w:t>
            </w:r>
          </w:p>
        </w:tc>
        <w:tc>
          <w:tcPr>
            <w:tcW w:w="0" w:type="auto"/>
            <w:vMerge w:val="restart"/>
            <w:noWrap w:val="0"/>
            <w:tcMar>
              <w:top w:w="15" w:type="dxa"/>
              <w:left w:w="15" w:type="dxa"/>
              <w:bottom w:w="15" w:type="dxa"/>
              <w:right w:w="15" w:type="dxa"/>
            </w:tcMar>
            <w:vAlign w:val="center"/>
          </w:tcPr>
          <w:p w14:paraId="6BE91176">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水源名称</w:t>
            </w:r>
          </w:p>
        </w:tc>
        <w:tc>
          <w:tcPr>
            <w:tcW w:w="0" w:type="auto"/>
            <w:vMerge w:val="restart"/>
            <w:noWrap w:val="0"/>
            <w:tcMar>
              <w:top w:w="15" w:type="dxa"/>
              <w:left w:w="15" w:type="dxa"/>
              <w:bottom w:w="15" w:type="dxa"/>
              <w:right w:w="15" w:type="dxa"/>
            </w:tcMar>
            <w:vAlign w:val="center"/>
          </w:tcPr>
          <w:p w14:paraId="5E7CA24B">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水源类型</w:t>
            </w:r>
          </w:p>
        </w:tc>
        <w:tc>
          <w:tcPr>
            <w:tcW w:w="0" w:type="auto"/>
            <w:vMerge w:val="restart"/>
            <w:noWrap w:val="0"/>
            <w:tcMar>
              <w:top w:w="15" w:type="dxa"/>
              <w:left w:w="15" w:type="dxa"/>
              <w:bottom w:w="15" w:type="dxa"/>
              <w:right w:w="15" w:type="dxa"/>
            </w:tcMar>
            <w:vAlign w:val="center"/>
          </w:tcPr>
          <w:p w14:paraId="31FA30D2">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水源所在镇（街道）</w:t>
            </w:r>
          </w:p>
        </w:tc>
        <w:tc>
          <w:tcPr>
            <w:tcW w:w="0" w:type="auto"/>
            <w:vMerge w:val="restart"/>
            <w:noWrap w:val="0"/>
            <w:tcMar>
              <w:top w:w="15" w:type="dxa"/>
              <w:left w:w="15" w:type="dxa"/>
              <w:bottom w:w="15" w:type="dxa"/>
              <w:right w:w="15" w:type="dxa"/>
            </w:tcMar>
            <w:vAlign w:val="center"/>
          </w:tcPr>
          <w:p w14:paraId="5F742AEB">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使用</w:t>
            </w:r>
          </w:p>
          <w:p w14:paraId="56774DBB">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状态</w:t>
            </w:r>
          </w:p>
        </w:tc>
        <w:tc>
          <w:tcPr>
            <w:tcW w:w="0" w:type="auto"/>
            <w:vMerge w:val="restart"/>
            <w:noWrap w:val="0"/>
            <w:tcMar>
              <w:top w:w="15" w:type="dxa"/>
              <w:left w:w="15" w:type="dxa"/>
              <w:bottom w:w="15" w:type="dxa"/>
              <w:right w:w="15" w:type="dxa"/>
            </w:tcMar>
            <w:vAlign w:val="center"/>
          </w:tcPr>
          <w:p w14:paraId="5BCE8421">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管理单位</w:t>
            </w:r>
          </w:p>
        </w:tc>
        <w:tc>
          <w:tcPr>
            <w:tcW w:w="0" w:type="auto"/>
            <w:gridSpan w:val="4"/>
            <w:noWrap w:val="0"/>
            <w:tcMar>
              <w:top w:w="15" w:type="dxa"/>
              <w:left w:w="15" w:type="dxa"/>
              <w:bottom w:w="15" w:type="dxa"/>
              <w:right w:w="15" w:type="dxa"/>
            </w:tcMar>
            <w:vAlign w:val="center"/>
          </w:tcPr>
          <w:p w14:paraId="28FE7FA9">
            <w:pPr>
              <w:keepNext w:val="0"/>
              <w:keepLines w:val="0"/>
              <w:pageBreakBefore w:val="0"/>
              <w:widowControl/>
              <w:kinsoku/>
              <w:wordWrap/>
              <w:overflowPunct/>
              <w:topLinePunct w:val="0"/>
              <w:autoSpaceDE/>
              <w:autoSpaceDN/>
              <w:bidi w:val="0"/>
              <w:adjustRightInd w:val="0"/>
              <w:snapToGrid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保护区划分范围</w:t>
            </w:r>
          </w:p>
        </w:tc>
      </w:tr>
      <w:tr w14:paraId="3AE1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noWrap w:val="0"/>
            <w:tcMar>
              <w:top w:w="15" w:type="dxa"/>
              <w:left w:w="15" w:type="dxa"/>
              <w:bottom w:w="15" w:type="dxa"/>
              <w:right w:w="15" w:type="dxa"/>
            </w:tcMar>
            <w:vAlign w:val="center"/>
          </w:tcPr>
          <w:p w14:paraId="5FE6D9FB">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463751F4">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02C0DA85">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553F6200">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1006C958">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2542DB1F">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19E2228A">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gridSpan w:val="2"/>
            <w:noWrap w:val="0"/>
            <w:tcMar>
              <w:top w:w="15" w:type="dxa"/>
              <w:left w:w="15" w:type="dxa"/>
              <w:bottom w:w="15" w:type="dxa"/>
              <w:right w:w="15" w:type="dxa"/>
            </w:tcMar>
            <w:vAlign w:val="center"/>
          </w:tcPr>
          <w:p w14:paraId="4CAC7729">
            <w:pPr>
              <w:keepNext w:val="0"/>
              <w:keepLines w:val="0"/>
              <w:pageBreakBefore w:val="0"/>
              <w:widowControl/>
              <w:kinsoku/>
              <w:wordWrap/>
              <w:overflowPunct/>
              <w:topLinePunct w:val="0"/>
              <w:autoSpaceDE/>
              <w:autoSpaceDN/>
              <w:bidi w:val="0"/>
              <w:adjustRightInd w:val="0"/>
              <w:snapToGrid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一级保护区</w:t>
            </w:r>
          </w:p>
        </w:tc>
        <w:tc>
          <w:tcPr>
            <w:tcW w:w="0" w:type="auto"/>
            <w:gridSpan w:val="2"/>
            <w:noWrap w:val="0"/>
            <w:tcMar>
              <w:top w:w="15" w:type="dxa"/>
              <w:left w:w="15" w:type="dxa"/>
              <w:bottom w:w="15" w:type="dxa"/>
              <w:right w:w="15" w:type="dxa"/>
            </w:tcMar>
            <w:vAlign w:val="center"/>
          </w:tcPr>
          <w:p w14:paraId="4236A3D8">
            <w:pPr>
              <w:keepNext w:val="0"/>
              <w:keepLines w:val="0"/>
              <w:pageBreakBefore w:val="0"/>
              <w:widowControl/>
              <w:kinsoku/>
              <w:wordWrap/>
              <w:overflowPunct/>
              <w:topLinePunct w:val="0"/>
              <w:autoSpaceDE/>
              <w:autoSpaceDN/>
              <w:bidi w:val="0"/>
              <w:adjustRightInd w:val="0"/>
              <w:snapToGrid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二级保护区</w:t>
            </w:r>
          </w:p>
        </w:tc>
      </w:tr>
      <w:tr w14:paraId="126C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noWrap w:val="0"/>
            <w:tcMar>
              <w:top w:w="15" w:type="dxa"/>
              <w:left w:w="15" w:type="dxa"/>
              <w:bottom w:w="15" w:type="dxa"/>
              <w:right w:w="15" w:type="dxa"/>
            </w:tcMar>
            <w:vAlign w:val="center"/>
          </w:tcPr>
          <w:p w14:paraId="4F23BCCC">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322F6254">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1D0F3C2F">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4E4341EB">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2A9EA865">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0C760D8F">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vMerge w:val="continue"/>
            <w:noWrap w:val="0"/>
            <w:tcMar>
              <w:top w:w="15" w:type="dxa"/>
              <w:left w:w="15" w:type="dxa"/>
              <w:bottom w:w="15" w:type="dxa"/>
              <w:right w:w="15" w:type="dxa"/>
            </w:tcMar>
            <w:vAlign w:val="center"/>
          </w:tcPr>
          <w:p w14:paraId="77369B2E">
            <w:pPr>
              <w:keepNext w:val="0"/>
              <w:keepLines w:val="0"/>
              <w:pageBreakBefore w:val="0"/>
              <w:kinsoku/>
              <w:wordWrap/>
              <w:overflowPunct/>
              <w:topLinePunct w:val="0"/>
              <w:autoSpaceDE/>
              <w:autoSpaceDN/>
              <w:bidi w:val="0"/>
              <w:spacing w:line="240" w:lineRule="atLeast"/>
              <w:ind w:left="0" w:firstLine="0" w:firstLineChars="0"/>
              <w:jc w:val="center"/>
              <w:textAlignment w:val="auto"/>
              <w:rPr>
                <w:rFonts w:hint="eastAsia" w:ascii="宋体" w:hAnsi="宋体" w:eastAsia="宋体" w:cs="宋体"/>
                <w:b/>
                <w:bCs/>
                <w:color w:val="auto"/>
                <w:sz w:val="21"/>
                <w:szCs w:val="21"/>
              </w:rPr>
            </w:pPr>
          </w:p>
        </w:tc>
        <w:tc>
          <w:tcPr>
            <w:tcW w:w="0" w:type="auto"/>
            <w:noWrap w:val="0"/>
            <w:tcMar>
              <w:top w:w="15" w:type="dxa"/>
              <w:left w:w="15" w:type="dxa"/>
              <w:bottom w:w="15" w:type="dxa"/>
              <w:right w:w="15" w:type="dxa"/>
            </w:tcMar>
            <w:vAlign w:val="center"/>
          </w:tcPr>
          <w:p w14:paraId="4BBEC41A">
            <w:pPr>
              <w:keepNext w:val="0"/>
              <w:keepLines w:val="0"/>
              <w:pageBreakBefore w:val="0"/>
              <w:widowControl/>
              <w:kinsoku/>
              <w:wordWrap/>
              <w:overflowPunct/>
              <w:topLinePunct w:val="0"/>
              <w:autoSpaceDE/>
              <w:autoSpaceDN/>
              <w:bidi w:val="0"/>
              <w:adjustRightInd w:val="0"/>
              <w:snapToGrid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水域范围</w:t>
            </w:r>
          </w:p>
        </w:tc>
        <w:tc>
          <w:tcPr>
            <w:tcW w:w="0" w:type="auto"/>
            <w:noWrap w:val="0"/>
            <w:tcMar>
              <w:top w:w="15" w:type="dxa"/>
              <w:left w:w="15" w:type="dxa"/>
              <w:bottom w:w="15" w:type="dxa"/>
              <w:right w:w="15" w:type="dxa"/>
            </w:tcMar>
            <w:vAlign w:val="center"/>
          </w:tcPr>
          <w:p w14:paraId="10C433CE">
            <w:pPr>
              <w:keepNext w:val="0"/>
              <w:keepLines w:val="0"/>
              <w:pageBreakBefore w:val="0"/>
              <w:widowControl/>
              <w:kinsoku/>
              <w:wordWrap/>
              <w:overflowPunct/>
              <w:topLinePunct w:val="0"/>
              <w:autoSpaceDE/>
              <w:autoSpaceDN/>
              <w:bidi w:val="0"/>
              <w:adjustRightInd w:val="0"/>
              <w:snapToGrid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陆域范围</w:t>
            </w:r>
          </w:p>
        </w:tc>
        <w:tc>
          <w:tcPr>
            <w:tcW w:w="0" w:type="auto"/>
            <w:noWrap w:val="0"/>
            <w:tcMar>
              <w:top w:w="15" w:type="dxa"/>
              <w:left w:w="15" w:type="dxa"/>
              <w:bottom w:w="15" w:type="dxa"/>
              <w:right w:w="15" w:type="dxa"/>
            </w:tcMar>
            <w:vAlign w:val="center"/>
          </w:tcPr>
          <w:p w14:paraId="196F8766">
            <w:pPr>
              <w:keepNext w:val="0"/>
              <w:keepLines w:val="0"/>
              <w:pageBreakBefore w:val="0"/>
              <w:widowControl/>
              <w:kinsoku/>
              <w:wordWrap/>
              <w:overflowPunct/>
              <w:topLinePunct w:val="0"/>
              <w:autoSpaceDE/>
              <w:autoSpaceDN/>
              <w:bidi w:val="0"/>
              <w:adjustRightInd w:val="0"/>
              <w:snapToGrid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水域范围</w:t>
            </w:r>
          </w:p>
        </w:tc>
        <w:tc>
          <w:tcPr>
            <w:tcW w:w="0" w:type="auto"/>
            <w:noWrap w:val="0"/>
            <w:tcMar>
              <w:top w:w="15" w:type="dxa"/>
              <w:left w:w="15" w:type="dxa"/>
              <w:bottom w:w="15" w:type="dxa"/>
              <w:right w:w="15" w:type="dxa"/>
            </w:tcMar>
            <w:vAlign w:val="center"/>
          </w:tcPr>
          <w:p w14:paraId="71709493">
            <w:pPr>
              <w:keepNext w:val="0"/>
              <w:keepLines w:val="0"/>
              <w:pageBreakBefore w:val="0"/>
              <w:widowControl/>
              <w:kinsoku/>
              <w:wordWrap/>
              <w:overflowPunct/>
              <w:topLinePunct w:val="0"/>
              <w:autoSpaceDE/>
              <w:autoSpaceDN/>
              <w:bidi w:val="0"/>
              <w:adjustRightInd w:val="0"/>
              <w:snapToGrid w:val="0"/>
              <w:spacing w:line="240" w:lineRule="atLeast"/>
              <w:ind w:left="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rPr>
              <w:t>陆域范围</w:t>
            </w:r>
          </w:p>
        </w:tc>
      </w:tr>
      <w:tr w14:paraId="2E52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0" w:type="auto"/>
            <w:noWrap w:val="0"/>
            <w:tcMar>
              <w:top w:w="15" w:type="dxa"/>
              <w:left w:w="15" w:type="dxa"/>
              <w:bottom w:w="15" w:type="dxa"/>
              <w:right w:w="15" w:type="dxa"/>
            </w:tcMar>
            <w:vAlign w:val="center"/>
          </w:tcPr>
          <w:p w14:paraId="5B231590">
            <w:pPr>
              <w:keepNext w:val="0"/>
              <w:keepLines w:val="0"/>
              <w:pageBreakBefore w:val="0"/>
              <w:widowControl/>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w:t>
            </w:r>
          </w:p>
        </w:tc>
        <w:tc>
          <w:tcPr>
            <w:tcW w:w="0" w:type="auto"/>
            <w:shd w:val="clear" w:color="auto" w:fill="auto"/>
            <w:noWrap w:val="0"/>
            <w:tcMar>
              <w:top w:w="15" w:type="dxa"/>
              <w:left w:w="15" w:type="dxa"/>
              <w:bottom w:w="15" w:type="dxa"/>
              <w:right w:w="15" w:type="dxa"/>
            </w:tcMar>
            <w:vAlign w:val="center"/>
          </w:tcPr>
          <w:p w14:paraId="09C65B19">
            <w:pPr>
              <w:pStyle w:val="23"/>
              <w:keepNext w:val="0"/>
              <w:keepLines w:val="0"/>
              <w:pageBreakBefore w:val="0"/>
              <w:kinsoku/>
              <w:wordWrap/>
              <w:overflowPunct/>
              <w:topLinePunct w:val="0"/>
              <w:autoSpaceDE/>
              <w:autoSpaceDN/>
              <w:bidi w:val="0"/>
              <w:spacing w:line="300" w:lineRule="exact"/>
              <w:ind w:firstLine="0" w:firstLineChars="0"/>
              <w:textAlignment w:val="auto"/>
              <w:rPr>
                <w:rFonts w:hint="eastAsia" w:asciiTheme="minorHAnsi" w:hAnsiTheme="minorHAnsi" w:eastAsiaTheme="minorEastAsia" w:cstheme="minorBidi"/>
                <w:color w:val="auto"/>
                <w:spacing w:val="10"/>
                <w:kern w:val="0"/>
                <w:sz w:val="21"/>
                <w:szCs w:val="21"/>
                <w:lang w:val="en-US" w:eastAsia="zh-CN" w:bidi="ar-SA"/>
              </w:rPr>
            </w:pPr>
            <w:r>
              <w:rPr>
                <w:rFonts w:hint="eastAsia"/>
                <w:color w:val="auto"/>
                <w:sz w:val="21"/>
                <w:szCs w:val="21"/>
                <w:lang w:val="en-US" w:eastAsia="zh-CN"/>
              </w:rPr>
              <w:t>重庆市开州区白鹤街道饮用水水源地</w:t>
            </w:r>
          </w:p>
        </w:tc>
        <w:tc>
          <w:tcPr>
            <w:tcW w:w="0" w:type="auto"/>
            <w:shd w:val="clear" w:color="auto" w:fill="auto"/>
            <w:noWrap w:val="0"/>
            <w:tcMar>
              <w:top w:w="15" w:type="dxa"/>
              <w:left w:w="15" w:type="dxa"/>
              <w:bottom w:w="15" w:type="dxa"/>
              <w:right w:w="15" w:type="dxa"/>
            </w:tcMar>
            <w:vAlign w:val="center"/>
          </w:tcPr>
          <w:p w14:paraId="376BA949">
            <w:pPr>
              <w:pStyle w:val="23"/>
              <w:keepNext w:val="0"/>
              <w:keepLines w:val="0"/>
              <w:pageBreakBefore w:val="0"/>
              <w:kinsoku/>
              <w:wordWrap/>
              <w:overflowPunct/>
              <w:topLinePunct w:val="0"/>
              <w:autoSpaceDE/>
              <w:autoSpaceDN/>
              <w:bidi w:val="0"/>
              <w:spacing w:line="300" w:lineRule="exact"/>
              <w:ind w:firstLine="0" w:firstLineChars="0"/>
              <w:textAlignment w:val="auto"/>
              <w:rPr>
                <w:rFonts w:hint="eastAsia" w:asciiTheme="minorHAnsi" w:hAnsiTheme="minorHAnsi" w:eastAsiaTheme="minorEastAsia" w:cstheme="minorBidi"/>
                <w:color w:val="auto"/>
                <w:spacing w:val="10"/>
                <w:kern w:val="0"/>
                <w:sz w:val="21"/>
                <w:szCs w:val="21"/>
                <w:lang w:val="en-US" w:eastAsia="zh-CN" w:bidi="ar-SA"/>
              </w:rPr>
            </w:pPr>
            <w:r>
              <w:rPr>
                <w:rFonts w:hint="eastAsia"/>
                <w:color w:val="auto"/>
                <w:sz w:val="21"/>
                <w:szCs w:val="21"/>
                <w:lang w:val="en-US" w:eastAsia="zh-CN"/>
              </w:rPr>
              <w:t>东河</w:t>
            </w:r>
          </w:p>
        </w:tc>
        <w:tc>
          <w:tcPr>
            <w:tcW w:w="0" w:type="auto"/>
            <w:shd w:val="clear" w:color="auto" w:fill="auto"/>
            <w:noWrap w:val="0"/>
            <w:tcMar>
              <w:top w:w="15" w:type="dxa"/>
              <w:left w:w="15" w:type="dxa"/>
              <w:bottom w:w="15" w:type="dxa"/>
              <w:right w:w="15" w:type="dxa"/>
            </w:tcMar>
            <w:vAlign w:val="center"/>
          </w:tcPr>
          <w:p w14:paraId="35F828ED">
            <w:pPr>
              <w:pStyle w:val="23"/>
              <w:keepNext w:val="0"/>
              <w:keepLines w:val="0"/>
              <w:pageBreakBefore w:val="0"/>
              <w:kinsoku/>
              <w:wordWrap/>
              <w:overflowPunct/>
              <w:topLinePunct w:val="0"/>
              <w:autoSpaceDE/>
              <w:autoSpaceDN/>
              <w:bidi w:val="0"/>
              <w:spacing w:line="300" w:lineRule="exact"/>
              <w:ind w:firstLine="0" w:firstLineChars="0"/>
              <w:textAlignment w:val="auto"/>
              <w:rPr>
                <w:rFonts w:hint="eastAsia" w:asciiTheme="minorHAnsi" w:hAnsiTheme="minorHAnsi" w:eastAsiaTheme="minorEastAsia" w:cstheme="minorBidi"/>
                <w:color w:val="auto"/>
                <w:spacing w:val="10"/>
                <w:kern w:val="0"/>
                <w:sz w:val="21"/>
                <w:szCs w:val="21"/>
                <w:lang w:val="en-US" w:eastAsia="zh-CN" w:bidi="ar-SA"/>
              </w:rPr>
            </w:pPr>
            <w:r>
              <w:rPr>
                <w:rFonts w:hint="eastAsia"/>
                <w:color w:val="auto"/>
                <w:sz w:val="21"/>
                <w:szCs w:val="21"/>
                <w:lang w:val="en-US" w:eastAsia="zh-CN"/>
              </w:rPr>
              <w:t>河流型</w:t>
            </w:r>
          </w:p>
        </w:tc>
        <w:tc>
          <w:tcPr>
            <w:tcW w:w="0" w:type="auto"/>
            <w:shd w:val="clear" w:color="auto" w:fill="auto"/>
            <w:noWrap w:val="0"/>
            <w:tcMar>
              <w:top w:w="15" w:type="dxa"/>
              <w:left w:w="15" w:type="dxa"/>
              <w:bottom w:w="15" w:type="dxa"/>
              <w:right w:w="15" w:type="dxa"/>
            </w:tcMar>
            <w:vAlign w:val="center"/>
          </w:tcPr>
          <w:p w14:paraId="12AE21FF">
            <w:pPr>
              <w:pStyle w:val="23"/>
              <w:keepNext w:val="0"/>
              <w:keepLines w:val="0"/>
              <w:pageBreakBefore w:val="0"/>
              <w:kinsoku/>
              <w:wordWrap/>
              <w:overflowPunct/>
              <w:topLinePunct w:val="0"/>
              <w:autoSpaceDE/>
              <w:autoSpaceDN/>
              <w:bidi w:val="0"/>
              <w:spacing w:line="300" w:lineRule="exact"/>
              <w:ind w:firstLine="0" w:firstLineChars="0"/>
              <w:textAlignment w:val="auto"/>
              <w:rPr>
                <w:rFonts w:hint="default" w:asciiTheme="minorHAnsi" w:hAnsiTheme="minorHAnsi" w:eastAsiaTheme="minorEastAsia" w:cstheme="minorBidi"/>
                <w:color w:val="auto"/>
                <w:spacing w:val="10"/>
                <w:kern w:val="0"/>
                <w:sz w:val="21"/>
                <w:szCs w:val="21"/>
                <w:lang w:val="en-US" w:eastAsia="zh-CN" w:bidi="ar-SA"/>
              </w:rPr>
            </w:pPr>
            <w:r>
              <w:rPr>
                <w:rFonts w:hint="eastAsia"/>
                <w:color w:val="auto"/>
                <w:sz w:val="21"/>
                <w:szCs w:val="21"/>
                <w:lang w:val="en-US" w:eastAsia="zh-CN"/>
              </w:rPr>
              <w:t>白鹤街道</w:t>
            </w:r>
          </w:p>
        </w:tc>
        <w:tc>
          <w:tcPr>
            <w:tcW w:w="0" w:type="auto"/>
            <w:shd w:val="clear" w:color="auto" w:fill="auto"/>
            <w:noWrap w:val="0"/>
            <w:tcMar>
              <w:top w:w="15" w:type="dxa"/>
              <w:left w:w="15" w:type="dxa"/>
              <w:bottom w:w="15" w:type="dxa"/>
              <w:right w:w="15" w:type="dxa"/>
            </w:tcMar>
            <w:vAlign w:val="center"/>
          </w:tcPr>
          <w:p w14:paraId="2EB40404">
            <w:pPr>
              <w:pStyle w:val="23"/>
              <w:keepNext w:val="0"/>
              <w:keepLines w:val="0"/>
              <w:pageBreakBefore w:val="0"/>
              <w:kinsoku/>
              <w:wordWrap/>
              <w:overflowPunct/>
              <w:topLinePunct w:val="0"/>
              <w:autoSpaceDE/>
              <w:autoSpaceDN/>
              <w:bidi w:val="0"/>
              <w:spacing w:line="300" w:lineRule="exact"/>
              <w:ind w:firstLine="0" w:firstLineChars="0"/>
              <w:textAlignment w:val="auto"/>
              <w:rPr>
                <w:rFonts w:hint="default" w:asciiTheme="minorHAnsi" w:hAnsiTheme="minorHAnsi" w:eastAsiaTheme="minorEastAsia" w:cstheme="minorBidi"/>
                <w:color w:val="auto"/>
                <w:spacing w:val="10"/>
                <w:kern w:val="0"/>
                <w:sz w:val="21"/>
                <w:szCs w:val="21"/>
                <w:lang w:val="en-US" w:eastAsia="zh-CN" w:bidi="ar-SA"/>
              </w:rPr>
            </w:pPr>
            <w:r>
              <w:rPr>
                <w:rFonts w:hint="eastAsia" w:cstheme="minorBidi"/>
                <w:color w:val="auto"/>
                <w:spacing w:val="10"/>
                <w:kern w:val="0"/>
                <w:sz w:val="21"/>
                <w:szCs w:val="21"/>
                <w:lang w:val="en-US" w:eastAsia="zh-CN" w:bidi="ar-SA"/>
              </w:rPr>
              <w:t>正常</w:t>
            </w:r>
          </w:p>
        </w:tc>
        <w:tc>
          <w:tcPr>
            <w:tcW w:w="0" w:type="auto"/>
            <w:shd w:val="clear" w:color="auto" w:fill="auto"/>
            <w:noWrap w:val="0"/>
            <w:tcMar>
              <w:top w:w="15" w:type="dxa"/>
              <w:left w:w="15" w:type="dxa"/>
              <w:bottom w:w="15" w:type="dxa"/>
              <w:right w:w="15" w:type="dxa"/>
            </w:tcMar>
            <w:vAlign w:val="center"/>
          </w:tcPr>
          <w:p w14:paraId="57AA8210">
            <w:pPr>
              <w:pStyle w:val="23"/>
              <w:keepNext w:val="0"/>
              <w:keepLines w:val="0"/>
              <w:pageBreakBefore w:val="0"/>
              <w:kinsoku/>
              <w:wordWrap/>
              <w:overflowPunct/>
              <w:topLinePunct w:val="0"/>
              <w:autoSpaceDE/>
              <w:autoSpaceDN/>
              <w:bidi w:val="0"/>
              <w:spacing w:line="300" w:lineRule="exact"/>
              <w:ind w:firstLine="0" w:firstLineChars="0"/>
              <w:textAlignment w:val="auto"/>
              <w:rPr>
                <w:rFonts w:hint="default" w:asciiTheme="minorHAnsi" w:hAnsiTheme="minorHAnsi" w:eastAsiaTheme="minorEastAsia" w:cstheme="minorBidi"/>
                <w:color w:val="auto"/>
                <w:spacing w:val="10"/>
                <w:kern w:val="0"/>
                <w:sz w:val="21"/>
                <w:szCs w:val="21"/>
                <w:lang w:val="en-US" w:eastAsia="zh-CN" w:bidi="ar-SA"/>
              </w:rPr>
            </w:pPr>
            <w:r>
              <w:rPr>
                <w:rFonts w:hint="eastAsia" w:cstheme="minorBidi"/>
                <w:color w:val="auto"/>
                <w:spacing w:val="10"/>
                <w:kern w:val="0"/>
                <w:sz w:val="21"/>
                <w:szCs w:val="21"/>
                <w:lang w:val="en-US" w:eastAsia="zh-CN" w:bidi="ar-SA"/>
              </w:rPr>
              <w:t>白鹤水厂</w:t>
            </w:r>
          </w:p>
        </w:tc>
        <w:tc>
          <w:tcPr>
            <w:tcW w:w="0" w:type="auto"/>
            <w:shd w:val="clear" w:color="auto" w:fill="auto"/>
            <w:noWrap w:val="0"/>
            <w:tcMar>
              <w:top w:w="15" w:type="dxa"/>
              <w:left w:w="15" w:type="dxa"/>
              <w:bottom w:w="15" w:type="dxa"/>
              <w:right w:w="15" w:type="dxa"/>
            </w:tcMar>
            <w:vAlign w:val="center"/>
          </w:tcPr>
          <w:p w14:paraId="58D6562D">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取水口上游1000米至下游100米的整个水域</w:t>
            </w:r>
          </w:p>
        </w:tc>
        <w:tc>
          <w:tcPr>
            <w:tcW w:w="0" w:type="auto"/>
            <w:shd w:val="clear" w:color="auto" w:fill="auto"/>
            <w:noWrap w:val="0"/>
            <w:tcMar>
              <w:top w:w="15" w:type="dxa"/>
              <w:left w:w="15" w:type="dxa"/>
              <w:bottom w:w="15" w:type="dxa"/>
              <w:right w:w="15" w:type="dxa"/>
            </w:tcMar>
            <w:vAlign w:val="center"/>
          </w:tcPr>
          <w:p w14:paraId="4730B11F">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30年一遇洪水位控制高程以下陆域，陆域沿岸长度与一级保护区水域长度相同</w:t>
            </w:r>
          </w:p>
        </w:tc>
        <w:tc>
          <w:tcPr>
            <w:tcW w:w="0" w:type="auto"/>
            <w:shd w:val="clear" w:color="auto" w:fill="auto"/>
            <w:noWrap w:val="0"/>
            <w:tcMar>
              <w:top w:w="15" w:type="dxa"/>
              <w:left w:w="15" w:type="dxa"/>
              <w:bottom w:w="15" w:type="dxa"/>
              <w:right w:w="15" w:type="dxa"/>
            </w:tcMar>
            <w:vAlign w:val="center"/>
          </w:tcPr>
          <w:p w14:paraId="61E0DDAD">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取水口上游1000—2000米，下游100—200米的整个水域。</w:t>
            </w:r>
          </w:p>
        </w:tc>
        <w:tc>
          <w:tcPr>
            <w:tcW w:w="0" w:type="auto"/>
            <w:shd w:val="clear" w:color="auto" w:fill="auto"/>
            <w:noWrap w:val="0"/>
            <w:tcMar>
              <w:top w:w="15" w:type="dxa"/>
              <w:left w:w="15" w:type="dxa"/>
              <w:bottom w:w="15" w:type="dxa"/>
              <w:right w:w="15" w:type="dxa"/>
            </w:tcMar>
            <w:vAlign w:val="center"/>
          </w:tcPr>
          <w:p w14:paraId="77CA26B5">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30年一遇洪水位控制高程以下陆域，陆域沿岸长度与二级保护区水域长度相同。</w:t>
            </w:r>
          </w:p>
        </w:tc>
      </w:tr>
    </w:tbl>
    <w:p w14:paraId="1C600E24">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eastAsia" w:ascii="宋体" w:hAnsi="宋体" w:eastAsia="宋体" w:cs="宋体"/>
          <w:b/>
          <w:bCs/>
          <w:color w:val="auto"/>
          <w:kern w:val="2"/>
          <w:sz w:val="32"/>
          <w:szCs w:val="32"/>
          <w:lang w:val="en-US" w:eastAsia="zh-CN" w:bidi="ar-SA"/>
        </w:rPr>
      </w:pPr>
      <w:bookmarkStart w:id="30" w:name="_Toc9137"/>
      <w:r>
        <w:rPr>
          <w:rFonts w:hint="eastAsia" w:ascii="宋体" w:hAnsi="宋体" w:eastAsia="宋体" w:cs="宋体"/>
          <w:b/>
          <w:bCs/>
          <w:color w:val="auto"/>
          <w:kern w:val="2"/>
          <w:sz w:val="32"/>
          <w:szCs w:val="32"/>
          <w:lang w:val="en-US" w:eastAsia="zh-CN" w:bidi="ar-SA"/>
        </w:rPr>
        <w:t>2.3 饮用水水源地规范化建设现状调查</w:t>
      </w:r>
      <w:bookmarkEnd w:id="30"/>
    </w:p>
    <w:p w14:paraId="44E13C8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（1）保护区标志、隔离防护设置情况</w:t>
      </w:r>
    </w:p>
    <w:p w14:paraId="50124AA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已根据《饮用水水源保护区标志技术要求（HJ／T_433-2008）》的要求设置一级、二级保护区边界标志牌；隔离防护栏等。</w:t>
      </w:r>
    </w:p>
    <w:p w14:paraId="293B58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 xml:space="preserve">表 2.3-1 白鹤街道水源地保护区标志、隔离防护措施 </w:t>
      </w:r>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1554"/>
        <w:gridCol w:w="5846"/>
      </w:tblGrid>
      <w:tr w14:paraId="6E53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2658" w:type="dxa"/>
            <w:gridSpan w:val="2"/>
            <w:noWrap w:val="0"/>
            <w:vAlign w:val="center"/>
          </w:tcPr>
          <w:p w14:paraId="5B095485">
            <w:pPr>
              <w:pStyle w:val="22"/>
              <w:spacing w:line="300" w:lineRule="exact"/>
              <w:ind w:firstLine="0" w:firstLineChars="0"/>
              <w:jc w:val="center"/>
              <w:rPr>
                <w:rFonts w:hint="eastAsia" w:ascii="宋体" w:hAnsi="宋体"/>
                <w:b/>
                <w:bCs/>
                <w:color w:val="auto"/>
                <w:lang w:val="en-US" w:eastAsia="zh-CN"/>
              </w:rPr>
            </w:pPr>
            <w:r>
              <w:rPr>
                <w:rFonts w:hint="eastAsia" w:ascii="宋体" w:hAnsi="宋体"/>
                <w:b/>
                <w:bCs/>
                <w:color w:val="auto"/>
                <w:lang w:val="en-US" w:eastAsia="zh-CN"/>
              </w:rPr>
              <w:t>水源地</w:t>
            </w:r>
          </w:p>
        </w:tc>
        <w:tc>
          <w:tcPr>
            <w:tcW w:w="5846" w:type="dxa"/>
            <w:noWrap w:val="0"/>
            <w:vAlign w:val="center"/>
          </w:tcPr>
          <w:p w14:paraId="27EFF718">
            <w:pPr>
              <w:pStyle w:val="22"/>
              <w:spacing w:line="300" w:lineRule="exact"/>
              <w:ind w:firstLine="0" w:firstLineChars="0"/>
              <w:jc w:val="center"/>
              <w:rPr>
                <w:rFonts w:hint="default" w:ascii="宋体" w:hAnsi="宋体"/>
                <w:b/>
                <w:bCs/>
                <w:color w:val="auto"/>
                <w:lang w:val="en-US"/>
              </w:rPr>
            </w:pPr>
            <w:r>
              <w:rPr>
                <w:rFonts w:hint="eastAsia" w:ascii="宋体" w:hAnsi="宋体"/>
                <w:b/>
                <w:bCs/>
                <w:color w:val="auto"/>
                <w:sz w:val="21"/>
                <w:szCs w:val="21"/>
                <w:lang w:val="en-US" w:eastAsia="zh-CN"/>
              </w:rPr>
              <w:t>保护区</w:t>
            </w:r>
            <w:r>
              <w:rPr>
                <w:rFonts w:hint="eastAsia" w:ascii="宋体" w:hAnsi="宋体"/>
                <w:b/>
                <w:bCs/>
                <w:color w:val="auto"/>
                <w:sz w:val="21"/>
                <w:szCs w:val="21"/>
              </w:rPr>
              <w:t>标志、隔离防护</w:t>
            </w:r>
            <w:r>
              <w:rPr>
                <w:rFonts w:hint="eastAsia" w:ascii="宋体" w:hAnsi="宋体"/>
                <w:b/>
                <w:bCs/>
                <w:color w:val="auto"/>
                <w:sz w:val="21"/>
                <w:szCs w:val="21"/>
                <w:lang w:val="en-US" w:eastAsia="zh-CN"/>
              </w:rPr>
              <w:t>措施照片</w:t>
            </w:r>
          </w:p>
        </w:tc>
      </w:tr>
      <w:tr w14:paraId="6343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6" w:hRule="atLeast"/>
          <w:tblHeader/>
          <w:jc w:val="center"/>
        </w:trPr>
        <w:tc>
          <w:tcPr>
            <w:tcW w:w="1104" w:type="dxa"/>
            <w:noWrap w:val="0"/>
            <w:vAlign w:val="center"/>
          </w:tcPr>
          <w:p w14:paraId="2C727A3B">
            <w:pPr>
              <w:pStyle w:val="22"/>
              <w:spacing w:line="300" w:lineRule="exact"/>
              <w:ind w:firstLine="0" w:firstLineChars="0"/>
              <w:jc w:val="center"/>
              <w:rPr>
                <w:rFonts w:hint="default" w:ascii="宋体" w:hAnsi="宋体"/>
                <w:color w:val="auto"/>
                <w:sz w:val="28"/>
                <w:szCs w:val="28"/>
                <w:lang w:val="en-US" w:eastAsia="zh-CN"/>
              </w:rPr>
            </w:pPr>
            <w:r>
              <w:rPr>
                <w:rFonts w:hint="eastAsia" w:ascii="宋体" w:hAnsi="宋体"/>
                <w:color w:val="auto"/>
                <w:sz w:val="21"/>
                <w:szCs w:val="21"/>
                <w:lang w:val="en-US" w:eastAsia="zh-CN"/>
              </w:rPr>
              <w:t>重庆市开州区白鹤街道饮用水水源地</w:t>
            </w:r>
          </w:p>
        </w:tc>
        <w:tc>
          <w:tcPr>
            <w:tcW w:w="1554" w:type="dxa"/>
            <w:noWrap w:val="0"/>
            <w:vAlign w:val="center"/>
          </w:tcPr>
          <w:p w14:paraId="06799394">
            <w:pPr>
              <w:pStyle w:val="22"/>
              <w:spacing w:line="300" w:lineRule="exact"/>
              <w:ind w:firstLine="0" w:firstLineChars="0"/>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一级保护区标识</w:t>
            </w:r>
          </w:p>
        </w:tc>
        <w:tc>
          <w:tcPr>
            <w:tcW w:w="5846" w:type="dxa"/>
            <w:noWrap w:val="0"/>
            <w:vAlign w:val="center"/>
          </w:tcPr>
          <w:p w14:paraId="492DCB4C">
            <w:pPr>
              <w:pStyle w:val="22"/>
              <w:spacing w:line="300" w:lineRule="exact"/>
              <w:ind w:firstLine="0" w:firstLineChars="0"/>
              <w:jc w:val="both"/>
              <w:rPr>
                <w:rFonts w:hint="eastAsia"/>
                <w:color w:val="auto"/>
                <w:lang w:val="en-US" w:eastAsia="zh-CN"/>
              </w:rPr>
            </w:pPr>
            <w:r>
              <w:rPr>
                <w:rFonts w:hint="eastAsia"/>
                <w:color w:val="auto"/>
                <w:lang w:val="en-US" w:eastAsia="zh-CN"/>
              </w:rPr>
              <w:drawing>
                <wp:anchor distT="0" distB="0" distL="114300" distR="114300" simplePos="0" relativeHeight="251663360" behindDoc="0" locked="0" layoutInCell="1" allowOverlap="1">
                  <wp:simplePos x="0" y="0"/>
                  <wp:positionH relativeFrom="column">
                    <wp:posOffset>285750</wp:posOffset>
                  </wp:positionH>
                  <wp:positionV relativeFrom="paragraph">
                    <wp:posOffset>73660</wp:posOffset>
                  </wp:positionV>
                  <wp:extent cx="2613025" cy="3484880"/>
                  <wp:effectExtent l="0" t="0" r="15875" b="1270"/>
                  <wp:wrapTopAndBottom/>
                  <wp:docPr id="3" name="图片 3" descr="IMG_20251011_10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1011_103013"/>
                          <pic:cNvPicPr>
                            <a:picLocks noChangeAspect="1"/>
                          </pic:cNvPicPr>
                        </pic:nvPicPr>
                        <pic:blipFill>
                          <a:blip r:embed="rId13"/>
                          <a:stretch>
                            <a:fillRect/>
                          </a:stretch>
                        </pic:blipFill>
                        <pic:spPr>
                          <a:xfrm>
                            <a:off x="0" y="0"/>
                            <a:ext cx="2613025" cy="3484880"/>
                          </a:xfrm>
                          <a:prstGeom prst="rect">
                            <a:avLst/>
                          </a:prstGeom>
                        </pic:spPr>
                      </pic:pic>
                    </a:graphicData>
                  </a:graphic>
                </wp:anchor>
              </w:drawing>
            </w:r>
          </w:p>
        </w:tc>
      </w:tr>
      <w:tr w14:paraId="1406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6" w:hRule="atLeast"/>
          <w:tblHeader/>
          <w:jc w:val="center"/>
        </w:trPr>
        <w:tc>
          <w:tcPr>
            <w:tcW w:w="1104" w:type="dxa"/>
            <w:vMerge w:val="restart"/>
            <w:noWrap w:val="0"/>
            <w:vAlign w:val="center"/>
          </w:tcPr>
          <w:p w14:paraId="377F8873">
            <w:pPr>
              <w:pStyle w:val="22"/>
              <w:spacing w:line="300" w:lineRule="exact"/>
              <w:ind w:firstLine="0" w:firstLineChars="0"/>
              <w:jc w:val="center"/>
              <w:rPr>
                <w:rFonts w:hint="default" w:ascii="宋体" w:hAnsi="宋体"/>
                <w:color w:val="auto"/>
                <w:sz w:val="28"/>
                <w:szCs w:val="28"/>
                <w:lang w:val="en-US" w:eastAsia="zh-CN"/>
              </w:rPr>
            </w:pPr>
            <w:r>
              <w:rPr>
                <w:rFonts w:hint="eastAsia" w:ascii="宋体" w:hAnsi="宋体"/>
                <w:color w:val="auto"/>
                <w:sz w:val="21"/>
                <w:szCs w:val="21"/>
                <w:lang w:val="en-US" w:eastAsia="zh-CN"/>
              </w:rPr>
              <w:t>重庆市开州区白鹤街道饮用水水源地</w:t>
            </w:r>
          </w:p>
        </w:tc>
        <w:tc>
          <w:tcPr>
            <w:tcW w:w="1554" w:type="dxa"/>
            <w:noWrap w:val="0"/>
            <w:vAlign w:val="center"/>
          </w:tcPr>
          <w:p w14:paraId="792D5ED8">
            <w:pPr>
              <w:pStyle w:val="22"/>
              <w:spacing w:line="300" w:lineRule="exact"/>
              <w:ind w:firstLine="0" w:firstLineChars="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二级保护区标识</w:t>
            </w:r>
          </w:p>
        </w:tc>
        <w:tc>
          <w:tcPr>
            <w:tcW w:w="5846" w:type="dxa"/>
            <w:noWrap w:val="0"/>
            <w:vAlign w:val="center"/>
          </w:tcPr>
          <w:p w14:paraId="062D9D9E">
            <w:pPr>
              <w:pStyle w:val="22"/>
              <w:spacing w:line="300" w:lineRule="exact"/>
              <w:ind w:firstLine="0" w:firstLineChars="0"/>
              <w:jc w:val="center"/>
              <w:rPr>
                <w:rFonts w:hint="eastAsia"/>
                <w:color w:val="auto"/>
                <w:lang w:val="en-US" w:eastAsia="zh-CN"/>
              </w:rPr>
            </w:pPr>
            <w:r>
              <w:rPr>
                <w:rFonts w:hint="eastAsia"/>
                <w:color w:val="auto"/>
                <w:lang w:val="en-US" w:eastAsia="zh-CN"/>
              </w:rPr>
              <w:drawing>
                <wp:anchor distT="0" distB="0" distL="114300" distR="114300" simplePos="0" relativeHeight="251664384" behindDoc="0" locked="0" layoutInCell="1" allowOverlap="1">
                  <wp:simplePos x="0" y="0"/>
                  <wp:positionH relativeFrom="column">
                    <wp:posOffset>73025</wp:posOffset>
                  </wp:positionH>
                  <wp:positionV relativeFrom="paragraph">
                    <wp:posOffset>120650</wp:posOffset>
                  </wp:positionV>
                  <wp:extent cx="3386455" cy="4515485"/>
                  <wp:effectExtent l="0" t="0" r="4445" b="18415"/>
                  <wp:wrapTopAndBottom/>
                  <wp:docPr id="4" name="图片 4" descr="IMG_20251010_15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1010_153458"/>
                          <pic:cNvPicPr>
                            <a:picLocks noChangeAspect="1"/>
                          </pic:cNvPicPr>
                        </pic:nvPicPr>
                        <pic:blipFill>
                          <a:blip r:embed="rId14"/>
                          <a:stretch>
                            <a:fillRect/>
                          </a:stretch>
                        </pic:blipFill>
                        <pic:spPr>
                          <a:xfrm>
                            <a:off x="0" y="0"/>
                            <a:ext cx="3386455" cy="4515485"/>
                          </a:xfrm>
                          <a:prstGeom prst="rect">
                            <a:avLst/>
                          </a:prstGeom>
                        </pic:spPr>
                      </pic:pic>
                    </a:graphicData>
                  </a:graphic>
                </wp:anchor>
              </w:drawing>
            </w:r>
          </w:p>
        </w:tc>
      </w:tr>
      <w:tr w14:paraId="63D2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continue"/>
            <w:noWrap w:val="0"/>
            <w:vAlign w:val="center"/>
          </w:tcPr>
          <w:p w14:paraId="73820172">
            <w:pPr>
              <w:pStyle w:val="22"/>
              <w:spacing w:line="300" w:lineRule="exact"/>
              <w:ind w:firstLine="0" w:firstLineChars="0"/>
              <w:jc w:val="center"/>
              <w:rPr>
                <w:rFonts w:hint="eastAsia" w:ascii="宋体" w:hAnsi="宋体"/>
                <w:color w:val="auto"/>
                <w:sz w:val="28"/>
                <w:szCs w:val="28"/>
                <w:lang w:val="en-US" w:eastAsia="zh-CN"/>
              </w:rPr>
            </w:pPr>
          </w:p>
        </w:tc>
        <w:tc>
          <w:tcPr>
            <w:tcW w:w="1554" w:type="dxa"/>
            <w:noWrap w:val="0"/>
            <w:vAlign w:val="center"/>
          </w:tcPr>
          <w:p w14:paraId="1B262FB6">
            <w:pPr>
              <w:pStyle w:val="22"/>
              <w:spacing w:line="300" w:lineRule="exact"/>
              <w:ind w:firstLine="0" w:firstLineChars="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取水口位置</w:t>
            </w:r>
          </w:p>
        </w:tc>
        <w:tc>
          <w:tcPr>
            <w:tcW w:w="5846" w:type="dxa"/>
            <w:noWrap w:val="0"/>
            <w:vAlign w:val="center"/>
          </w:tcPr>
          <w:p w14:paraId="36168225">
            <w:pPr>
              <w:pStyle w:val="22"/>
              <w:spacing w:line="300" w:lineRule="exact"/>
              <w:ind w:firstLine="0" w:firstLineChars="0"/>
              <w:jc w:val="center"/>
              <w:rPr>
                <w:rFonts w:hint="eastAsia"/>
                <w:color w:val="auto"/>
                <w:lang w:val="en-US" w:eastAsia="zh-CN"/>
              </w:rPr>
            </w:pPr>
            <w:r>
              <w:rPr>
                <w:rFonts w:hint="eastAsia"/>
                <w:color w:val="auto"/>
                <w:lang w:val="en-US" w:eastAsia="zh-CN"/>
              </w:rPr>
              <w:drawing>
                <wp:anchor distT="0" distB="0" distL="114300" distR="114300" simplePos="0" relativeHeight="251665408" behindDoc="0" locked="0" layoutInCell="1" allowOverlap="1">
                  <wp:simplePos x="0" y="0"/>
                  <wp:positionH relativeFrom="column">
                    <wp:posOffset>6350</wp:posOffset>
                  </wp:positionH>
                  <wp:positionV relativeFrom="paragraph">
                    <wp:posOffset>-939800</wp:posOffset>
                  </wp:positionV>
                  <wp:extent cx="3555365" cy="1999615"/>
                  <wp:effectExtent l="0" t="0" r="6985" b="635"/>
                  <wp:wrapTopAndBottom/>
                  <wp:docPr id="2" name="图片 2" descr="微信图片_20251017135515_74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1017135515_74_54"/>
                          <pic:cNvPicPr>
                            <a:picLocks noChangeAspect="1"/>
                          </pic:cNvPicPr>
                        </pic:nvPicPr>
                        <pic:blipFill>
                          <a:blip r:embed="rId15"/>
                          <a:stretch>
                            <a:fillRect/>
                          </a:stretch>
                        </pic:blipFill>
                        <pic:spPr>
                          <a:xfrm>
                            <a:off x="0" y="0"/>
                            <a:ext cx="3555365" cy="1999615"/>
                          </a:xfrm>
                          <a:prstGeom prst="rect">
                            <a:avLst/>
                          </a:prstGeom>
                        </pic:spPr>
                      </pic:pic>
                    </a:graphicData>
                  </a:graphic>
                </wp:anchor>
              </w:drawing>
            </w:r>
          </w:p>
        </w:tc>
      </w:tr>
      <w:tr w14:paraId="32B44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restart"/>
            <w:noWrap w:val="0"/>
            <w:vAlign w:val="center"/>
          </w:tcPr>
          <w:p w14:paraId="415C1B6D">
            <w:pPr>
              <w:pStyle w:val="22"/>
              <w:spacing w:line="300" w:lineRule="exact"/>
              <w:ind w:firstLine="0" w:firstLineChars="0"/>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重庆市开州区白鹤街道饮用水水源地</w:t>
            </w:r>
          </w:p>
        </w:tc>
        <w:tc>
          <w:tcPr>
            <w:tcW w:w="1554" w:type="dxa"/>
            <w:noWrap w:val="0"/>
            <w:vAlign w:val="center"/>
          </w:tcPr>
          <w:p w14:paraId="196723C7">
            <w:pPr>
              <w:pStyle w:val="22"/>
              <w:spacing w:line="300" w:lineRule="exact"/>
              <w:ind w:firstLine="0" w:firstLineChars="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取水点监控摄像头</w:t>
            </w:r>
          </w:p>
        </w:tc>
        <w:tc>
          <w:tcPr>
            <w:tcW w:w="5846" w:type="dxa"/>
            <w:noWrap w:val="0"/>
            <w:vAlign w:val="center"/>
          </w:tcPr>
          <w:p w14:paraId="0B5B36A6">
            <w:pPr>
              <w:pStyle w:val="22"/>
              <w:spacing w:line="300" w:lineRule="exact"/>
              <w:ind w:firstLine="0" w:firstLineChars="0"/>
              <w:jc w:val="center"/>
              <w:rPr>
                <w:rFonts w:hint="eastAsia"/>
                <w:color w:val="auto"/>
                <w:lang w:val="en-US" w:eastAsia="zh-CN"/>
              </w:rPr>
            </w:pPr>
            <w:r>
              <w:rPr>
                <w:rFonts w:hint="eastAsia"/>
                <w:color w:val="auto"/>
                <w:lang w:val="en-US" w:eastAsia="zh-CN"/>
              </w:rPr>
              <w:drawing>
                <wp:anchor distT="0" distB="0" distL="114300" distR="114300" simplePos="0" relativeHeight="251666432" behindDoc="0" locked="0" layoutInCell="1" allowOverlap="1">
                  <wp:simplePos x="0" y="0"/>
                  <wp:positionH relativeFrom="column">
                    <wp:posOffset>568960</wp:posOffset>
                  </wp:positionH>
                  <wp:positionV relativeFrom="paragraph">
                    <wp:posOffset>80645</wp:posOffset>
                  </wp:positionV>
                  <wp:extent cx="2228850" cy="2973070"/>
                  <wp:effectExtent l="0" t="0" r="0" b="17780"/>
                  <wp:wrapTopAndBottom/>
                  <wp:docPr id="6" name="图片 6" descr="IMG_20251010_15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1010_153114"/>
                          <pic:cNvPicPr>
                            <a:picLocks noChangeAspect="1"/>
                          </pic:cNvPicPr>
                        </pic:nvPicPr>
                        <pic:blipFill>
                          <a:blip r:embed="rId16"/>
                          <a:stretch>
                            <a:fillRect/>
                          </a:stretch>
                        </pic:blipFill>
                        <pic:spPr>
                          <a:xfrm>
                            <a:off x="0" y="0"/>
                            <a:ext cx="2228850" cy="2973070"/>
                          </a:xfrm>
                          <a:prstGeom prst="rect">
                            <a:avLst/>
                          </a:prstGeom>
                        </pic:spPr>
                      </pic:pic>
                    </a:graphicData>
                  </a:graphic>
                </wp:anchor>
              </w:drawing>
            </w:r>
          </w:p>
        </w:tc>
      </w:tr>
      <w:tr w14:paraId="4C83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vMerge w:val="continue"/>
            <w:noWrap w:val="0"/>
            <w:vAlign w:val="center"/>
          </w:tcPr>
          <w:p w14:paraId="400E0844">
            <w:pPr>
              <w:pStyle w:val="22"/>
              <w:spacing w:line="300" w:lineRule="exact"/>
              <w:ind w:firstLine="0" w:firstLineChars="0"/>
              <w:jc w:val="center"/>
              <w:rPr>
                <w:rFonts w:hint="eastAsia" w:ascii="宋体" w:hAnsi="宋体"/>
                <w:color w:val="auto"/>
                <w:sz w:val="21"/>
                <w:szCs w:val="21"/>
                <w:lang w:val="en-US" w:eastAsia="zh-CN"/>
              </w:rPr>
            </w:pPr>
          </w:p>
        </w:tc>
        <w:tc>
          <w:tcPr>
            <w:tcW w:w="1554" w:type="dxa"/>
            <w:noWrap w:val="0"/>
            <w:vAlign w:val="center"/>
          </w:tcPr>
          <w:p w14:paraId="08A13F73">
            <w:pPr>
              <w:pStyle w:val="22"/>
              <w:spacing w:line="300" w:lineRule="exact"/>
              <w:ind w:firstLine="0" w:firstLineChars="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饮用水保护范围示意图</w:t>
            </w:r>
          </w:p>
        </w:tc>
        <w:tc>
          <w:tcPr>
            <w:tcW w:w="5846" w:type="dxa"/>
            <w:noWrap w:val="0"/>
            <w:vAlign w:val="center"/>
          </w:tcPr>
          <w:p w14:paraId="4921B0F3">
            <w:pPr>
              <w:pStyle w:val="22"/>
              <w:spacing w:line="300" w:lineRule="exact"/>
              <w:ind w:firstLine="0" w:firstLineChars="0"/>
              <w:jc w:val="center"/>
              <w:rPr>
                <w:rFonts w:hint="eastAsia" w:eastAsiaTheme="minorEastAsia"/>
                <w:color w:val="auto"/>
                <w:lang w:eastAsia="zh-CN"/>
              </w:rPr>
            </w:pPr>
            <w:r>
              <w:rPr>
                <w:rFonts w:hint="eastAsia" w:eastAsiaTheme="minorEastAsia"/>
                <w:color w:val="auto"/>
                <w:lang w:eastAsia="zh-CN"/>
              </w:rPr>
              <w:drawing>
                <wp:anchor distT="0" distB="0" distL="114300" distR="114300" simplePos="0" relativeHeight="251667456" behindDoc="0" locked="0" layoutInCell="1" allowOverlap="1">
                  <wp:simplePos x="0" y="0"/>
                  <wp:positionH relativeFrom="column">
                    <wp:posOffset>619760</wp:posOffset>
                  </wp:positionH>
                  <wp:positionV relativeFrom="paragraph">
                    <wp:posOffset>149225</wp:posOffset>
                  </wp:positionV>
                  <wp:extent cx="2677795" cy="3524885"/>
                  <wp:effectExtent l="0" t="0" r="8255" b="18415"/>
                  <wp:wrapTopAndBottom/>
                  <wp:docPr id="7" name="图片 7" descr="微信图片_20251017135514_73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1017135514_73_54"/>
                          <pic:cNvPicPr>
                            <a:picLocks noChangeAspect="1"/>
                          </pic:cNvPicPr>
                        </pic:nvPicPr>
                        <pic:blipFill>
                          <a:blip r:embed="rId17"/>
                          <a:srcRect b="25997"/>
                          <a:stretch>
                            <a:fillRect/>
                          </a:stretch>
                        </pic:blipFill>
                        <pic:spPr>
                          <a:xfrm>
                            <a:off x="0" y="0"/>
                            <a:ext cx="2677795" cy="3524885"/>
                          </a:xfrm>
                          <a:prstGeom prst="rect">
                            <a:avLst/>
                          </a:prstGeom>
                        </pic:spPr>
                      </pic:pic>
                    </a:graphicData>
                  </a:graphic>
                </wp:anchor>
              </w:drawing>
            </w:r>
          </w:p>
        </w:tc>
      </w:tr>
      <w:tr w14:paraId="35AD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8" w:hRule="atLeast"/>
          <w:tblHeader/>
          <w:jc w:val="center"/>
        </w:trPr>
        <w:tc>
          <w:tcPr>
            <w:tcW w:w="1104" w:type="dxa"/>
            <w:noWrap w:val="0"/>
            <w:vAlign w:val="center"/>
          </w:tcPr>
          <w:p w14:paraId="07D1B175">
            <w:pPr>
              <w:pStyle w:val="22"/>
              <w:spacing w:line="300" w:lineRule="exact"/>
              <w:ind w:firstLine="0" w:firstLineChars="0"/>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重庆市开州区白鹤街道饮用水水源地</w:t>
            </w:r>
          </w:p>
        </w:tc>
        <w:tc>
          <w:tcPr>
            <w:tcW w:w="1554" w:type="dxa"/>
            <w:noWrap w:val="0"/>
            <w:vAlign w:val="center"/>
          </w:tcPr>
          <w:p w14:paraId="26787609">
            <w:pPr>
              <w:pStyle w:val="22"/>
              <w:spacing w:line="300" w:lineRule="exact"/>
              <w:ind w:firstLine="0" w:firstLineChars="0"/>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取水点标识</w:t>
            </w:r>
          </w:p>
        </w:tc>
        <w:tc>
          <w:tcPr>
            <w:tcW w:w="5846" w:type="dxa"/>
            <w:noWrap w:val="0"/>
            <w:vAlign w:val="center"/>
          </w:tcPr>
          <w:p w14:paraId="2F40133B">
            <w:pPr>
              <w:pStyle w:val="22"/>
              <w:spacing w:line="300" w:lineRule="exact"/>
              <w:ind w:firstLine="0" w:firstLineChars="0"/>
              <w:jc w:val="center"/>
              <w:rPr>
                <w:rFonts w:hint="eastAsia" w:eastAsiaTheme="minorEastAsia"/>
                <w:color w:val="auto"/>
                <w:lang w:eastAsia="zh-CN"/>
              </w:rPr>
            </w:pPr>
            <w:r>
              <w:rPr>
                <w:rFonts w:hint="default"/>
                <w:lang w:val="en-US" w:eastAsia="zh-CN"/>
              </w:rPr>
              <w:drawing>
                <wp:anchor distT="0" distB="0" distL="114300" distR="114300" simplePos="0" relativeHeight="251668480" behindDoc="0" locked="0" layoutInCell="1" allowOverlap="1">
                  <wp:simplePos x="0" y="0"/>
                  <wp:positionH relativeFrom="column">
                    <wp:posOffset>91440</wp:posOffset>
                  </wp:positionH>
                  <wp:positionV relativeFrom="paragraph">
                    <wp:posOffset>210820</wp:posOffset>
                  </wp:positionV>
                  <wp:extent cx="3245485" cy="2434590"/>
                  <wp:effectExtent l="0" t="0" r="12065" b="3810"/>
                  <wp:wrapTopAndBottom/>
                  <wp:docPr id="8" name="图片 1" descr="3af6152ce6751b477a625b514195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3af6152ce6751b477a625b514195bc2"/>
                          <pic:cNvPicPr>
                            <a:picLocks noChangeAspect="1"/>
                          </pic:cNvPicPr>
                        </pic:nvPicPr>
                        <pic:blipFill>
                          <a:blip r:embed="rId18"/>
                          <a:stretch>
                            <a:fillRect/>
                          </a:stretch>
                        </pic:blipFill>
                        <pic:spPr>
                          <a:xfrm>
                            <a:off x="0" y="0"/>
                            <a:ext cx="3245485" cy="2434590"/>
                          </a:xfrm>
                          <a:prstGeom prst="rect">
                            <a:avLst/>
                          </a:prstGeom>
                          <a:noFill/>
                          <a:ln>
                            <a:noFill/>
                          </a:ln>
                        </pic:spPr>
                      </pic:pic>
                    </a:graphicData>
                  </a:graphic>
                </wp:anchor>
              </w:drawing>
            </w:r>
          </w:p>
        </w:tc>
      </w:tr>
    </w:tbl>
    <w:p w14:paraId="492AB38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（2）饮用水源地保护区重点保护工程情况</w:t>
      </w:r>
    </w:p>
    <w:p w14:paraId="5A4EFE4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1）保护区标志、隔离防护设置情况</w:t>
      </w:r>
    </w:p>
    <w:p w14:paraId="469B7E8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cs="宋体"/>
          <w:color w:val="auto"/>
          <w:sz w:val="28"/>
          <w:szCs w:val="28"/>
          <w:lang w:val="en-US" w:eastAsia="zh-CN"/>
        </w:rPr>
        <w:t>开州区东河白鹤水厂水源已根据《饮用水水源保护区标志技术要求（HJ／T_433-2008）》的要求设置一级、二级保护区边界界标、界桩等。水源保护区一、二级保护区内没有交通道路穿越，不需设置道路警示牌；在下河步道处设置保护区宣传牌，开州区东河白鹤水厂水源人为活动较少，有部分可利用的天然地形地貌隔离，并设置明显的具有保护性功能的隔离防护措施</w:t>
      </w:r>
      <w:r>
        <w:rPr>
          <w:rFonts w:hint="eastAsia" w:ascii="宋体" w:hAnsi="宋体" w:eastAsia="宋体" w:cs="宋体"/>
          <w:color w:val="auto"/>
          <w:sz w:val="28"/>
          <w:szCs w:val="28"/>
          <w:lang w:val="en-US" w:eastAsia="zh-CN"/>
        </w:rPr>
        <w:t>。</w:t>
      </w:r>
    </w:p>
    <w:p w14:paraId="6B8C34E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2）监控能力建设情况</w:t>
      </w:r>
    </w:p>
    <w:p w14:paraId="78211DCA">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根据现场调查，水源地</w:t>
      </w:r>
      <w:r>
        <w:rPr>
          <w:rFonts w:hint="eastAsia" w:cs="宋体"/>
          <w:color w:val="auto"/>
          <w:sz w:val="28"/>
          <w:szCs w:val="28"/>
          <w:lang w:val="en-US" w:eastAsia="zh-CN"/>
        </w:rPr>
        <w:t>下游</w:t>
      </w:r>
      <w:r>
        <w:rPr>
          <w:rFonts w:hint="eastAsia" w:ascii="宋体" w:hAnsi="宋体" w:eastAsia="宋体" w:cs="宋体"/>
          <w:color w:val="auto"/>
          <w:sz w:val="28"/>
          <w:szCs w:val="28"/>
          <w:lang w:val="en-US" w:eastAsia="zh-CN"/>
        </w:rPr>
        <w:t>设置有监测断面，由重庆市开州区生态环境监测中心对设置断面水质进行定期监测。</w:t>
      </w:r>
    </w:p>
    <w:p w14:paraId="61EB63C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根据现场调查，水源地在取水口处设置有视频监控。</w:t>
      </w:r>
    </w:p>
    <w:p w14:paraId="06AF636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3）风险防控与应急能力建设情况</w:t>
      </w:r>
    </w:p>
    <w:p w14:paraId="5EF772E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①风险识别与防范</w:t>
      </w:r>
    </w:p>
    <w:p w14:paraId="0C4F92C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w:t>
      </w: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上游及周边存在风险源，主要包括农村居民生活、农田灌溉、家禽养殖等，水源地尚未建立风险源名录和危险化学品运输管理制度。</w:t>
      </w:r>
    </w:p>
    <w:p w14:paraId="7FD17B1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②应急能力</w:t>
      </w:r>
    </w:p>
    <w:p w14:paraId="2D552C0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w:t>
      </w: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已具备应急预案、救济物资、技术储备、应急防护工程设施、应急专家队伍等相应应急能力。</w:t>
      </w:r>
    </w:p>
    <w:p w14:paraId="524C993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4）水源地一源一档建设</w:t>
      </w:r>
    </w:p>
    <w:p w14:paraId="144CCC8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据调查了解，该水源地已进行资料汇编，建立《重庆市开州区白鹤街道饮用水水源地一源一档》。</w:t>
      </w:r>
    </w:p>
    <w:p w14:paraId="08A8D0F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汇编资料如下表所示。</w:t>
      </w:r>
      <w:bookmarkStart w:id="31" w:name="_Ref524336654"/>
    </w:p>
    <w:p w14:paraId="6C3FDDE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表</w:t>
      </w:r>
      <w:bookmarkEnd w:id="31"/>
      <w:r>
        <w:rPr>
          <w:rFonts w:hint="eastAsia" w:ascii="宋体" w:hAnsi="宋体" w:eastAsia="宋体" w:cs="宋体"/>
          <w:color w:val="auto"/>
          <w:sz w:val="28"/>
          <w:szCs w:val="28"/>
          <w:lang w:val="en-US" w:eastAsia="zh-CN"/>
        </w:rPr>
        <w:t xml:space="preserve"> 2.3-2 </w:t>
      </w: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一源一档资料</w:t>
      </w:r>
    </w:p>
    <w:tbl>
      <w:tblPr>
        <w:tblStyle w:val="16"/>
        <w:tblW w:w="850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5"/>
        <w:gridCol w:w="5429"/>
        <w:gridCol w:w="2380"/>
      </w:tblGrid>
      <w:tr w14:paraId="26FE9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0" w:type="dxa"/>
            <w:noWrap w:val="0"/>
            <w:vAlign w:val="center"/>
          </w:tcPr>
          <w:p w14:paraId="01E6293B">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bookmarkStart w:id="32" w:name="_Toc8217"/>
            <w:r>
              <w:rPr>
                <w:rFonts w:hAnsi="宋体"/>
                <w:color w:val="auto"/>
                <w:sz w:val="21"/>
                <w:szCs w:val="21"/>
              </w:rPr>
              <w:t>序号</w:t>
            </w:r>
          </w:p>
        </w:tc>
        <w:tc>
          <w:tcPr>
            <w:tcW w:w="5596" w:type="dxa"/>
            <w:noWrap w:val="0"/>
            <w:vAlign w:val="center"/>
          </w:tcPr>
          <w:p w14:paraId="4E90721B">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rFonts w:hAnsi="宋体"/>
                <w:color w:val="auto"/>
                <w:sz w:val="21"/>
                <w:szCs w:val="21"/>
              </w:rPr>
              <w:t>文件材料题名</w:t>
            </w:r>
          </w:p>
        </w:tc>
        <w:tc>
          <w:tcPr>
            <w:tcW w:w="2449" w:type="dxa"/>
            <w:noWrap w:val="0"/>
            <w:vAlign w:val="center"/>
          </w:tcPr>
          <w:p w14:paraId="3D5EF2C9">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rFonts w:hAnsi="宋体"/>
                <w:color w:val="auto"/>
                <w:sz w:val="21"/>
                <w:szCs w:val="21"/>
              </w:rPr>
              <w:t>备注</w:t>
            </w:r>
          </w:p>
        </w:tc>
      </w:tr>
      <w:tr w14:paraId="2F004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54063430">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color w:val="auto"/>
                <w:sz w:val="21"/>
                <w:szCs w:val="21"/>
              </w:rPr>
              <w:t>1</w:t>
            </w:r>
          </w:p>
        </w:tc>
        <w:tc>
          <w:tcPr>
            <w:tcW w:w="5596" w:type="dxa"/>
            <w:noWrap w:val="0"/>
            <w:vAlign w:val="center"/>
          </w:tcPr>
          <w:p w14:paraId="7267EF46">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color w:val="auto"/>
                <w:sz w:val="21"/>
                <w:szCs w:val="21"/>
              </w:rPr>
            </w:pPr>
            <w:r>
              <w:rPr>
                <w:rFonts w:hAnsi="宋体"/>
                <w:color w:val="auto"/>
                <w:sz w:val="21"/>
                <w:szCs w:val="21"/>
              </w:rPr>
              <w:t>《重庆市人民政府办公厅关于调整万州区等</w:t>
            </w:r>
            <w:r>
              <w:rPr>
                <w:color w:val="auto"/>
                <w:sz w:val="21"/>
                <w:szCs w:val="21"/>
              </w:rPr>
              <w:t>36</w:t>
            </w:r>
            <w:r>
              <w:rPr>
                <w:rFonts w:hAnsi="宋体"/>
                <w:color w:val="auto"/>
                <w:sz w:val="21"/>
                <w:szCs w:val="21"/>
              </w:rPr>
              <w:t>个区县（自治县）集中式饮用水水源保护区的通知》</w:t>
            </w:r>
          </w:p>
        </w:tc>
        <w:tc>
          <w:tcPr>
            <w:tcW w:w="2449" w:type="dxa"/>
            <w:noWrap w:val="0"/>
            <w:vAlign w:val="center"/>
          </w:tcPr>
          <w:p w14:paraId="042687DD">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rFonts w:hAnsi="宋体"/>
                <w:color w:val="auto"/>
                <w:sz w:val="21"/>
                <w:szCs w:val="21"/>
              </w:rPr>
              <w:t>渝府办</w:t>
            </w:r>
            <w:r>
              <w:rPr>
                <w:color w:val="auto"/>
                <w:sz w:val="21"/>
                <w:szCs w:val="21"/>
              </w:rPr>
              <w:t>[2016]19</w:t>
            </w:r>
            <w:r>
              <w:rPr>
                <w:rFonts w:hAnsi="宋体"/>
                <w:color w:val="auto"/>
                <w:sz w:val="21"/>
                <w:szCs w:val="21"/>
              </w:rPr>
              <w:t>号</w:t>
            </w:r>
          </w:p>
        </w:tc>
      </w:tr>
      <w:tr w14:paraId="78483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3BE8E4C7">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color w:val="auto"/>
                <w:sz w:val="21"/>
                <w:szCs w:val="21"/>
              </w:rPr>
              <w:t>2</w:t>
            </w:r>
          </w:p>
        </w:tc>
        <w:tc>
          <w:tcPr>
            <w:tcW w:w="5596" w:type="dxa"/>
            <w:noWrap w:val="0"/>
            <w:vAlign w:val="center"/>
          </w:tcPr>
          <w:p w14:paraId="44FA9D6A">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color w:val="auto"/>
                <w:sz w:val="21"/>
                <w:szCs w:val="21"/>
              </w:rPr>
            </w:pPr>
            <w:r>
              <w:rPr>
                <w:rFonts w:hAnsi="宋体"/>
                <w:color w:val="auto"/>
                <w:sz w:val="21"/>
                <w:szCs w:val="21"/>
              </w:rPr>
              <w:t>《</w:t>
            </w:r>
            <w:r>
              <w:rPr>
                <w:rFonts w:hint="eastAsia" w:hAnsi="宋体"/>
                <w:color w:val="auto"/>
                <w:sz w:val="21"/>
                <w:szCs w:val="21"/>
              </w:rPr>
              <w:t>重庆市人民政府办公厅关于 印发万州区等区县（开发区）集中式饮用水水源地保护区划分及调整方案的通知</w:t>
            </w:r>
            <w:r>
              <w:rPr>
                <w:rFonts w:hAnsi="宋体"/>
                <w:color w:val="auto"/>
                <w:sz w:val="21"/>
                <w:szCs w:val="21"/>
              </w:rPr>
              <w:t>》</w:t>
            </w:r>
          </w:p>
        </w:tc>
        <w:tc>
          <w:tcPr>
            <w:tcW w:w="2449" w:type="dxa"/>
            <w:noWrap w:val="0"/>
            <w:vAlign w:val="center"/>
          </w:tcPr>
          <w:p w14:paraId="1FDDDCC7">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rFonts w:hint="eastAsia" w:hAnsi="宋体"/>
                <w:color w:val="auto"/>
                <w:sz w:val="21"/>
                <w:szCs w:val="21"/>
              </w:rPr>
              <w:t>渝府办[2018]7号</w:t>
            </w:r>
          </w:p>
        </w:tc>
      </w:tr>
      <w:tr w14:paraId="54AE1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27991265">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color w:val="auto"/>
                <w:sz w:val="21"/>
                <w:szCs w:val="21"/>
              </w:rPr>
              <w:t>3</w:t>
            </w:r>
          </w:p>
        </w:tc>
        <w:tc>
          <w:tcPr>
            <w:tcW w:w="5596" w:type="dxa"/>
            <w:noWrap w:val="0"/>
            <w:vAlign w:val="center"/>
          </w:tcPr>
          <w:p w14:paraId="6CEA8B0F">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rFonts w:hAnsi="宋体"/>
                <w:color w:val="auto"/>
                <w:sz w:val="21"/>
                <w:szCs w:val="21"/>
              </w:rPr>
            </w:pPr>
            <w:r>
              <w:rPr>
                <w:rFonts w:hint="eastAsia" w:hAnsi="宋体"/>
                <w:color w:val="auto"/>
                <w:sz w:val="21"/>
                <w:szCs w:val="21"/>
              </w:rPr>
              <w:t>《重庆市开州区环境保护局关于进一步加强乡镇集中式饮用水水源地管理的通知》</w:t>
            </w:r>
          </w:p>
        </w:tc>
        <w:tc>
          <w:tcPr>
            <w:tcW w:w="2449" w:type="dxa"/>
            <w:noWrap w:val="0"/>
            <w:vAlign w:val="center"/>
          </w:tcPr>
          <w:p w14:paraId="329965A0">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color w:val="auto"/>
                <w:sz w:val="21"/>
                <w:szCs w:val="21"/>
              </w:rPr>
              <w:t>开州环发〔2017〕75号</w:t>
            </w:r>
          </w:p>
        </w:tc>
      </w:tr>
      <w:tr w14:paraId="7BDBF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75ACAD6E">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color w:val="auto"/>
                <w:sz w:val="21"/>
                <w:szCs w:val="21"/>
              </w:rPr>
              <w:t>4</w:t>
            </w:r>
          </w:p>
        </w:tc>
        <w:tc>
          <w:tcPr>
            <w:tcW w:w="5596" w:type="dxa"/>
            <w:noWrap w:val="0"/>
            <w:vAlign w:val="center"/>
          </w:tcPr>
          <w:p w14:paraId="71CBD484">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color w:val="auto"/>
                <w:sz w:val="21"/>
                <w:szCs w:val="21"/>
              </w:rPr>
            </w:pPr>
            <w:r>
              <w:rPr>
                <w:rFonts w:hint="eastAsia" w:hAnsi="宋体"/>
                <w:color w:val="auto"/>
                <w:sz w:val="21"/>
                <w:szCs w:val="21"/>
                <w:lang w:eastAsia="zh-CN"/>
              </w:rPr>
              <w:t>重庆市开州区白鹤街道饮用水水源地</w:t>
            </w:r>
            <w:r>
              <w:rPr>
                <w:rFonts w:hAnsi="宋体"/>
                <w:color w:val="auto"/>
                <w:sz w:val="21"/>
                <w:szCs w:val="21"/>
              </w:rPr>
              <w:t>标示标牌相关情况</w:t>
            </w:r>
          </w:p>
        </w:tc>
        <w:tc>
          <w:tcPr>
            <w:tcW w:w="2449" w:type="dxa"/>
            <w:noWrap w:val="0"/>
            <w:vAlign w:val="center"/>
          </w:tcPr>
          <w:p w14:paraId="41D4E9AF">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rFonts w:hAnsi="宋体"/>
                <w:color w:val="auto"/>
                <w:sz w:val="21"/>
                <w:szCs w:val="21"/>
              </w:rPr>
              <w:t>标示标牌</w:t>
            </w:r>
          </w:p>
        </w:tc>
      </w:tr>
      <w:tr w14:paraId="3089D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0E23D69E">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color w:val="auto"/>
                <w:sz w:val="21"/>
                <w:szCs w:val="21"/>
              </w:rPr>
              <w:t>5</w:t>
            </w:r>
          </w:p>
        </w:tc>
        <w:tc>
          <w:tcPr>
            <w:tcW w:w="5596" w:type="dxa"/>
            <w:noWrap w:val="0"/>
            <w:vAlign w:val="center"/>
          </w:tcPr>
          <w:p w14:paraId="53B24979">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color w:val="auto"/>
                <w:sz w:val="21"/>
                <w:szCs w:val="21"/>
              </w:rPr>
            </w:pPr>
            <w:r>
              <w:rPr>
                <w:rFonts w:hint="eastAsia" w:hAnsi="宋体"/>
                <w:color w:val="auto"/>
                <w:sz w:val="21"/>
                <w:szCs w:val="21"/>
                <w:lang w:eastAsia="zh-CN"/>
              </w:rPr>
              <w:t>白鹤街道</w:t>
            </w:r>
            <w:r>
              <w:rPr>
                <w:rFonts w:hAnsi="宋体"/>
                <w:color w:val="auto"/>
                <w:sz w:val="21"/>
                <w:szCs w:val="21"/>
              </w:rPr>
              <w:t>饮用水源保护区巡查记录表</w:t>
            </w:r>
          </w:p>
        </w:tc>
        <w:tc>
          <w:tcPr>
            <w:tcW w:w="2449" w:type="dxa"/>
            <w:noWrap w:val="0"/>
            <w:vAlign w:val="center"/>
          </w:tcPr>
          <w:p w14:paraId="29FCEBA2">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rFonts w:hint="eastAsia" w:hAnsi="宋体"/>
                <w:color w:val="auto"/>
                <w:sz w:val="21"/>
                <w:szCs w:val="21"/>
                <w:lang w:eastAsia="zh-CN"/>
              </w:rPr>
              <w:t>白鹤街道</w:t>
            </w:r>
          </w:p>
        </w:tc>
      </w:tr>
      <w:tr w14:paraId="5D0F2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004C83A8">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color w:val="auto"/>
                <w:sz w:val="21"/>
                <w:szCs w:val="21"/>
              </w:rPr>
              <w:t>6</w:t>
            </w:r>
          </w:p>
        </w:tc>
        <w:tc>
          <w:tcPr>
            <w:tcW w:w="5596" w:type="dxa"/>
            <w:noWrap w:val="0"/>
            <w:vAlign w:val="center"/>
          </w:tcPr>
          <w:p w14:paraId="6E28581E">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color w:val="auto"/>
                <w:sz w:val="21"/>
                <w:szCs w:val="21"/>
              </w:rPr>
            </w:pPr>
            <w:r>
              <w:rPr>
                <w:rFonts w:hAnsi="宋体"/>
                <w:color w:val="auto"/>
                <w:sz w:val="21"/>
                <w:szCs w:val="21"/>
              </w:rPr>
              <w:t>重庆市</w:t>
            </w:r>
            <w:r>
              <w:rPr>
                <w:rFonts w:hint="eastAsia" w:hAnsi="宋体"/>
                <w:color w:val="auto"/>
                <w:sz w:val="21"/>
                <w:szCs w:val="21"/>
                <w:lang w:eastAsia="zh-CN"/>
              </w:rPr>
              <w:t>白鹤街道</w:t>
            </w:r>
            <w:r>
              <w:rPr>
                <w:rFonts w:hAnsi="宋体"/>
                <w:color w:val="auto"/>
                <w:sz w:val="21"/>
                <w:szCs w:val="21"/>
              </w:rPr>
              <w:t>现场监察记录单</w:t>
            </w:r>
          </w:p>
        </w:tc>
        <w:tc>
          <w:tcPr>
            <w:tcW w:w="2449" w:type="dxa"/>
            <w:noWrap w:val="0"/>
            <w:vAlign w:val="center"/>
          </w:tcPr>
          <w:p w14:paraId="6485FD10">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rFonts w:hAnsi="宋体"/>
                <w:color w:val="auto"/>
                <w:sz w:val="21"/>
                <w:szCs w:val="21"/>
              </w:rPr>
              <w:t>水厂巡查记录</w:t>
            </w:r>
          </w:p>
        </w:tc>
      </w:tr>
      <w:tr w14:paraId="33A85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3A6D5A45">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color w:val="auto"/>
                <w:sz w:val="21"/>
                <w:szCs w:val="21"/>
              </w:rPr>
              <w:t>7</w:t>
            </w:r>
          </w:p>
        </w:tc>
        <w:tc>
          <w:tcPr>
            <w:tcW w:w="5596" w:type="dxa"/>
            <w:noWrap w:val="0"/>
            <w:vAlign w:val="center"/>
          </w:tcPr>
          <w:p w14:paraId="6414AE78">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color w:val="auto"/>
                <w:sz w:val="21"/>
                <w:szCs w:val="21"/>
              </w:rPr>
            </w:pPr>
            <w:r>
              <w:rPr>
                <w:rFonts w:hint="eastAsia" w:hAnsi="宋体"/>
                <w:color w:val="auto"/>
                <w:sz w:val="21"/>
                <w:szCs w:val="21"/>
                <w:lang w:eastAsia="zh-CN"/>
              </w:rPr>
              <w:t>白鹤街道</w:t>
            </w:r>
            <w:r>
              <w:rPr>
                <w:rFonts w:hAnsi="宋体"/>
                <w:color w:val="auto"/>
                <w:sz w:val="21"/>
                <w:szCs w:val="21"/>
              </w:rPr>
              <w:t>饮用水源保护区巡查记录表</w:t>
            </w:r>
          </w:p>
        </w:tc>
        <w:tc>
          <w:tcPr>
            <w:tcW w:w="2449" w:type="dxa"/>
            <w:noWrap w:val="0"/>
            <w:vAlign w:val="center"/>
          </w:tcPr>
          <w:p w14:paraId="16585EA1">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rFonts w:hAnsi="宋体"/>
                <w:color w:val="auto"/>
                <w:sz w:val="21"/>
                <w:szCs w:val="21"/>
              </w:rPr>
              <w:t>生态环境局巡查记录</w:t>
            </w:r>
          </w:p>
        </w:tc>
      </w:tr>
      <w:tr w14:paraId="7BA04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4850697D">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color w:val="auto"/>
                <w:sz w:val="21"/>
                <w:szCs w:val="21"/>
              </w:rPr>
              <w:t>8</w:t>
            </w:r>
          </w:p>
        </w:tc>
        <w:tc>
          <w:tcPr>
            <w:tcW w:w="5596" w:type="dxa"/>
            <w:noWrap w:val="0"/>
            <w:vAlign w:val="center"/>
          </w:tcPr>
          <w:p w14:paraId="6DE59747">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color w:val="auto"/>
                <w:sz w:val="21"/>
                <w:szCs w:val="21"/>
              </w:rPr>
            </w:pPr>
            <w:r>
              <w:rPr>
                <w:rFonts w:hAnsi="宋体"/>
                <w:color w:val="auto"/>
                <w:sz w:val="21"/>
                <w:szCs w:val="21"/>
              </w:rPr>
              <w:t>《</w:t>
            </w:r>
            <w:r>
              <w:rPr>
                <w:rFonts w:hint="eastAsia" w:hAnsi="宋体"/>
                <w:color w:val="auto"/>
                <w:sz w:val="21"/>
                <w:szCs w:val="21"/>
                <w:lang w:eastAsia="zh-CN"/>
              </w:rPr>
              <w:t>白鹤街道</w:t>
            </w:r>
            <w:r>
              <w:rPr>
                <w:rFonts w:hint="eastAsia" w:hAnsi="宋体"/>
                <w:color w:val="auto"/>
                <w:sz w:val="21"/>
                <w:szCs w:val="21"/>
                <w:lang w:val="en-US" w:eastAsia="zh-CN"/>
              </w:rPr>
              <w:t>街道办事处</w:t>
            </w:r>
            <w:r>
              <w:rPr>
                <w:rFonts w:hAnsi="宋体"/>
                <w:color w:val="auto"/>
                <w:sz w:val="21"/>
                <w:szCs w:val="21"/>
              </w:rPr>
              <w:t>应急物资明细》</w:t>
            </w:r>
          </w:p>
        </w:tc>
        <w:tc>
          <w:tcPr>
            <w:tcW w:w="2449" w:type="dxa"/>
            <w:noWrap w:val="0"/>
            <w:vAlign w:val="center"/>
          </w:tcPr>
          <w:p w14:paraId="2DC19C13">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rFonts w:hAnsi="宋体"/>
                <w:color w:val="auto"/>
                <w:sz w:val="21"/>
                <w:szCs w:val="21"/>
              </w:rPr>
              <w:t>水源地应急</w:t>
            </w:r>
            <w:r>
              <w:rPr>
                <w:rFonts w:hint="eastAsia" w:hAnsi="宋体"/>
                <w:color w:val="auto"/>
                <w:sz w:val="21"/>
                <w:szCs w:val="21"/>
                <w:lang w:eastAsia="zh-CN"/>
              </w:rPr>
              <w:t>物资</w:t>
            </w:r>
            <w:r>
              <w:rPr>
                <w:rFonts w:hAnsi="宋体"/>
                <w:color w:val="auto"/>
                <w:sz w:val="21"/>
                <w:szCs w:val="21"/>
              </w:rPr>
              <w:t>、装备、设备储备清单</w:t>
            </w:r>
          </w:p>
        </w:tc>
      </w:tr>
      <w:tr w14:paraId="28F2C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10" w:type="dxa"/>
            <w:noWrap w:val="0"/>
            <w:vAlign w:val="center"/>
          </w:tcPr>
          <w:p w14:paraId="3B1734D0">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r>
              <w:rPr>
                <w:color w:val="auto"/>
                <w:sz w:val="21"/>
                <w:szCs w:val="21"/>
              </w:rPr>
              <w:t>9</w:t>
            </w:r>
          </w:p>
        </w:tc>
        <w:tc>
          <w:tcPr>
            <w:tcW w:w="5596" w:type="dxa"/>
            <w:noWrap w:val="0"/>
            <w:vAlign w:val="center"/>
          </w:tcPr>
          <w:p w14:paraId="799669D1">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jc w:val="both"/>
              <w:textAlignment w:val="auto"/>
              <w:rPr>
                <w:color w:val="auto"/>
                <w:sz w:val="21"/>
                <w:szCs w:val="21"/>
              </w:rPr>
            </w:pPr>
            <w:r>
              <w:rPr>
                <w:rFonts w:hAnsi="宋体"/>
                <w:color w:val="auto"/>
                <w:sz w:val="21"/>
                <w:szCs w:val="21"/>
              </w:rPr>
              <w:t>重庆市</w:t>
            </w:r>
            <w:r>
              <w:rPr>
                <w:rFonts w:hint="eastAsia" w:hAnsi="宋体"/>
                <w:color w:val="auto"/>
                <w:sz w:val="21"/>
                <w:szCs w:val="21"/>
              </w:rPr>
              <w:t>开州区</w:t>
            </w:r>
            <w:r>
              <w:rPr>
                <w:rFonts w:hAnsi="宋体"/>
                <w:color w:val="auto"/>
                <w:sz w:val="21"/>
                <w:szCs w:val="21"/>
              </w:rPr>
              <w:t>环境应急专家库名单</w:t>
            </w:r>
          </w:p>
        </w:tc>
        <w:tc>
          <w:tcPr>
            <w:tcW w:w="2449" w:type="dxa"/>
            <w:noWrap w:val="0"/>
            <w:vAlign w:val="center"/>
          </w:tcPr>
          <w:p w14:paraId="0344AF01">
            <w:pPr>
              <w:pStyle w:val="23"/>
              <w:keepNext w:val="0"/>
              <w:keepLines w:val="0"/>
              <w:pageBreakBefore w:val="0"/>
              <w:widowControl w:val="0"/>
              <w:kinsoku/>
              <w:wordWrap/>
              <w:overflowPunct/>
              <w:topLinePunct w:val="0"/>
              <w:autoSpaceDE/>
              <w:autoSpaceDN/>
              <w:bidi w:val="0"/>
              <w:adjustRightInd w:val="0"/>
              <w:snapToGrid/>
              <w:spacing w:line="300" w:lineRule="exact"/>
              <w:ind w:firstLine="0" w:firstLineChars="0"/>
              <w:textAlignment w:val="auto"/>
              <w:rPr>
                <w:color w:val="auto"/>
                <w:sz w:val="21"/>
                <w:szCs w:val="21"/>
              </w:rPr>
            </w:pPr>
          </w:p>
        </w:tc>
      </w:tr>
    </w:tbl>
    <w:p w14:paraId="348AE2F0">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eastAsia" w:ascii="宋体" w:hAnsi="宋体" w:eastAsia="宋体" w:cs="宋体"/>
          <w:b/>
          <w:bCs/>
          <w:color w:val="auto"/>
          <w:kern w:val="2"/>
          <w:sz w:val="32"/>
          <w:szCs w:val="32"/>
          <w:lang w:val="en-US" w:eastAsia="zh-CN" w:bidi="ar-SA"/>
        </w:rPr>
      </w:pPr>
      <w:bookmarkStart w:id="33" w:name="_Toc4369"/>
      <w:r>
        <w:rPr>
          <w:rFonts w:hint="eastAsia" w:ascii="宋体" w:hAnsi="宋体" w:eastAsia="宋体" w:cs="宋体"/>
          <w:b/>
          <w:bCs/>
          <w:color w:val="auto"/>
          <w:kern w:val="2"/>
          <w:sz w:val="32"/>
          <w:szCs w:val="32"/>
          <w:lang w:val="en-US" w:eastAsia="zh-CN" w:bidi="ar-SA"/>
        </w:rPr>
        <w:t>2.4 水源地环境风险</w:t>
      </w:r>
      <w:bookmarkEnd w:id="32"/>
      <w:bookmarkEnd w:id="33"/>
    </w:p>
    <w:p w14:paraId="51E3763F">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2.4.1 固定源</w:t>
      </w:r>
    </w:p>
    <w:p w14:paraId="164F7FB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经调查，</w:t>
      </w:r>
      <w:r>
        <w:rPr>
          <w:rFonts w:hint="eastAsia" w:cs="宋体"/>
          <w:color w:val="auto"/>
          <w:sz w:val="28"/>
          <w:szCs w:val="28"/>
          <w:lang w:val="en-US" w:eastAsia="zh-CN"/>
        </w:rPr>
        <w:t>开州区东河白鹤水厂水源地一、二级保护区内均无固定风险源，且无涉及水源地上游连接水体及周边汇水区域风险物质生产、加工、使用、储存和运输的企业、向环境排放污染物的企业、加油站加气站、污水处理厂等存在</w:t>
      </w:r>
      <w:r>
        <w:rPr>
          <w:rFonts w:hint="eastAsia" w:ascii="宋体" w:hAnsi="宋体" w:eastAsia="宋体" w:cs="宋体"/>
          <w:color w:val="auto"/>
          <w:sz w:val="28"/>
          <w:szCs w:val="28"/>
          <w:lang w:val="en-US" w:eastAsia="zh-CN"/>
        </w:rPr>
        <w:t>。</w:t>
      </w:r>
    </w:p>
    <w:p w14:paraId="74EBAFC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综上，</w:t>
      </w: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无固定污染源存在。</w:t>
      </w:r>
    </w:p>
    <w:p w14:paraId="00DA4B88">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2.4.2 流动源</w:t>
      </w:r>
    </w:p>
    <w:p w14:paraId="6917E6C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（1）陆路运输</w:t>
      </w:r>
    </w:p>
    <w:p w14:paraId="605CF90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据调查，开州区东河白鹤水厂水源地保护区边界向上游连接水体及周边汇水区域上溯24小时流程范围内的水域及分水岭内的陆域范围只有乡村公路，无危险化学品专用运输道路。</w:t>
      </w:r>
    </w:p>
    <w:p w14:paraId="45C6EF2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（2）水路运输</w:t>
      </w:r>
    </w:p>
    <w:p w14:paraId="64C671F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饮用水源地保护区及汇水区域不涉及水路运输。</w:t>
      </w:r>
    </w:p>
    <w:p w14:paraId="73427C2A">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2.4.3 非点源</w:t>
      </w:r>
    </w:p>
    <w:p w14:paraId="68FD507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村落居民居住比较分散，无集中的污水收集及处理设施，生活污水进入居民自家粪池后用于农业施肥。水源地保护区范围内偶有生活垃圾乱扔现象。</w:t>
      </w:r>
    </w:p>
    <w:p w14:paraId="5070434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ascii="宋体" w:hAnsi="宋体" w:eastAsia="宋体"/>
          <w:b/>
          <w:bCs/>
          <w:color w:val="auto"/>
          <w:sz w:val="24"/>
          <w:szCs w:val="24"/>
        </w:rPr>
      </w:pPr>
      <w:r>
        <w:rPr>
          <w:rFonts w:hint="eastAsia" w:ascii="宋体" w:hAnsi="宋体" w:eastAsia="宋体" w:cs="宋体"/>
          <w:color w:val="auto"/>
          <w:sz w:val="28"/>
          <w:szCs w:val="28"/>
          <w:lang w:val="en-US" w:eastAsia="zh-CN"/>
        </w:rPr>
        <w:t>评估范围内耕地主要用于种植水稻、玉米、蔬菜、果树等农作物；评估范围内无规模化和专业户畜禽养殖，存在居民小单元养殖。</w:t>
      </w:r>
    </w:p>
    <w:p w14:paraId="12815993">
      <w:pPr>
        <w:pStyle w:val="8"/>
        <w:spacing w:line="520" w:lineRule="exact"/>
        <w:jc w:val="center"/>
        <w:rPr>
          <w:rFonts w:ascii="宋体" w:hAnsi="宋体" w:eastAsia="宋体"/>
          <w:b/>
          <w:bCs/>
          <w:color w:val="auto"/>
          <w:sz w:val="24"/>
          <w:szCs w:val="24"/>
        </w:rPr>
      </w:pPr>
      <w:r>
        <w:rPr>
          <w:rFonts w:ascii="宋体" w:hAnsi="宋体" w:eastAsia="宋体"/>
          <w:b/>
          <w:bCs/>
          <w:color w:val="auto"/>
          <w:sz w:val="24"/>
          <w:szCs w:val="24"/>
        </w:rPr>
        <w:t>表</w:t>
      </w:r>
      <w:r>
        <w:rPr>
          <w:rFonts w:hint="eastAsia" w:ascii="宋体" w:hAnsi="宋体" w:eastAsia="宋体"/>
          <w:b/>
          <w:bCs/>
          <w:color w:val="auto"/>
          <w:sz w:val="24"/>
          <w:szCs w:val="24"/>
          <w:lang w:val="en-US" w:eastAsia="zh-CN"/>
        </w:rPr>
        <w:t>2</w:t>
      </w:r>
      <w:r>
        <w:rPr>
          <w:rFonts w:hint="eastAsia" w:ascii="宋体" w:hAnsi="宋体" w:eastAsia="宋体"/>
          <w:b/>
          <w:bCs/>
          <w:color w:val="auto"/>
          <w:sz w:val="24"/>
          <w:szCs w:val="24"/>
        </w:rPr>
        <w:t>.</w:t>
      </w:r>
      <w:r>
        <w:rPr>
          <w:rFonts w:hint="eastAsia" w:ascii="宋体" w:hAnsi="宋体" w:eastAsia="宋体"/>
          <w:b/>
          <w:bCs/>
          <w:color w:val="auto"/>
          <w:sz w:val="24"/>
          <w:szCs w:val="24"/>
          <w:lang w:val="en-US" w:eastAsia="zh-CN"/>
        </w:rPr>
        <w:t>3-2</w:t>
      </w:r>
      <w:r>
        <w:rPr>
          <w:rFonts w:ascii="宋体" w:hAnsi="宋体" w:eastAsia="宋体"/>
          <w:b/>
          <w:bCs/>
          <w:color w:val="auto"/>
          <w:sz w:val="24"/>
          <w:szCs w:val="24"/>
        </w:rPr>
        <w:t xml:space="preserve"> 水源地主要风险源调查（面源）</w:t>
      </w:r>
    </w:p>
    <w:tbl>
      <w:tblPr>
        <w:tblStyle w:val="1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95"/>
        <w:gridCol w:w="1418"/>
        <w:gridCol w:w="850"/>
        <w:gridCol w:w="1874"/>
        <w:gridCol w:w="798"/>
        <w:gridCol w:w="1112"/>
        <w:gridCol w:w="765"/>
        <w:gridCol w:w="980"/>
        <w:gridCol w:w="735"/>
      </w:tblGrid>
      <w:tr w14:paraId="196D1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Header/>
          <w:jc w:val="center"/>
        </w:trPr>
        <w:tc>
          <w:tcPr>
            <w:tcW w:w="2013" w:type="dxa"/>
            <w:gridSpan w:val="2"/>
            <w:vMerge w:val="restart"/>
            <w:noWrap w:val="0"/>
            <w:tcMar>
              <w:top w:w="28" w:type="dxa"/>
              <w:left w:w="28" w:type="dxa"/>
              <w:bottom w:w="28" w:type="dxa"/>
              <w:right w:w="28" w:type="dxa"/>
            </w:tcMar>
            <w:vAlign w:val="center"/>
          </w:tcPr>
          <w:p w14:paraId="520E4DEC">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水源地名称</w:t>
            </w:r>
          </w:p>
        </w:tc>
        <w:tc>
          <w:tcPr>
            <w:tcW w:w="7114" w:type="dxa"/>
            <w:gridSpan w:val="7"/>
            <w:noWrap w:val="0"/>
            <w:tcMar>
              <w:top w:w="28" w:type="dxa"/>
              <w:left w:w="28" w:type="dxa"/>
              <w:bottom w:w="28" w:type="dxa"/>
              <w:right w:w="28" w:type="dxa"/>
            </w:tcMar>
            <w:vAlign w:val="center"/>
          </w:tcPr>
          <w:p w14:paraId="448A2AC3">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面源</w:t>
            </w:r>
          </w:p>
        </w:tc>
      </w:tr>
      <w:tr w14:paraId="36E8F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Header/>
          <w:jc w:val="center"/>
        </w:trPr>
        <w:tc>
          <w:tcPr>
            <w:tcW w:w="2013" w:type="dxa"/>
            <w:gridSpan w:val="2"/>
            <w:vMerge w:val="continue"/>
            <w:noWrap w:val="0"/>
            <w:tcMar>
              <w:top w:w="28" w:type="dxa"/>
              <w:left w:w="28" w:type="dxa"/>
              <w:bottom w:w="28" w:type="dxa"/>
              <w:right w:w="28" w:type="dxa"/>
            </w:tcMar>
            <w:vAlign w:val="center"/>
          </w:tcPr>
          <w:p w14:paraId="4BFBC464">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c>
          <w:tcPr>
            <w:tcW w:w="2724" w:type="dxa"/>
            <w:gridSpan w:val="2"/>
            <w:noWrap w:val="0"/>
            <w:tcMar>
              <w:top w:w="28" w:type="dxa"/>
              <w:left w:w="28" w:type="dxa"/>
              <w:bottom w:w="28" w:type="dxa"/>
              <w:right w:w="28" w:type="dxa"/>
            </w:tcMar>
            <w:vAlign w:val="center"/>
          </w:tcPr>
          <w:p w14:paraId="24ED9F14">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生活居民</w:t>
            </w:r>
          </w:p>
        </w:tc>
        <w:tc>
          <w:tcPr>
            <w:tcW w:w="1910" w:type="dxa"/>
            <w:gridSpan w:val="2"/>
            <w:noWrap w:val="0"/>
            <w:tcMar>
              <w:top w:w="28" w:type="dxa"/>
              <w:left w:w="28" w:type="dxa"/>
              <w:bottom w:w="28" w:type="dxa"/>
              <w:right w:w="28" w:type="dxa"/>
            </w:tcMar>
            <w:vAlign w:val="center"/>
          </w:tcPr>
          <w:p w14:paraId="468AD8B0">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农业面源污染</w:t>
            </w:r>
          </w:p>
        </w:tc>
        <w:tc>
          <w:tcPr>
            <w:tcW w:w="1745" w:type="dxa"/>
            <w:gridSpan w:val="2"/>
            <w:noWrap w:val="0"/>
            <w:tcMar>
              <w:top w:w="28" w:type="dxa"/>
              <w:left w:w="28" w:type="dxa"/>
              <w:bottom w:w="28" w:type="dxa"/>
              <w:right w:w="28" w:type="dxa"/>
            </w:tcMar>
            <w:vAlign w:val="center"/>
          </w:tcPr>
          <w:p w14:paraId="1C30CDCE">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畜禽养殖</w:t>
            </w:r>
          </w:p>
        </w:tc>
        <w:tc>
          <w:tcPr>
            <w:tcW w:w="735" w:type="dxa"/>
            <w:vMerge w:val="restart"/>
            <w:noWrap w:val="0"/>
            <w:tcMar>
              <w:top w:w="28" w:type="dxa"/>
              <w:left w:w="28" w:type="dxa"/>
              <w:bottom w:w="28" w:type="dxa"/>
              <w:right w:w="28" w:type="dxa"/>
            </w:tcMar>
            <w:vAlign w:val="center"/>
          </w:tcPr>
          <w:p w14:paraId="03FAE1E5">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闸坝</w:t>
            </w:r>
          </w:p>
        </w:tc>
      </w:tr>
      <w:tr w14:paraId="7304F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blHeader/>
          <w:jc w:val="center"/>
        </w:trPr>
        <w:tc>
          <w:tcPr>
            <w:tcW w:w="2013" w:type="dxa"/>
            <w:gridSpan w:val="2"/>
            <w:vMerge w:val="continue"/>
            <w:noWrap w:val="0"/>
            <w:tcMar>
              <w:top w:w="28" w:type="dxa"/>
              <w:left w:w="28" w:type="dxa"/>
              <w:bottom w:w="28" w:type="dxa"/>
              <w:right w:w="28" w:type="dxa"/>
            </w:tcMar>
            <w:vAlign w:val="center"/>
          </w:tcPr>
          <w:p w14:paraId="039C9077">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c>
          <w:tcPr>
            <w:tcW w:w="850" w:type="dxa"/>
            <w:noWrap w:val="0"/>
            <w:tcMar>
              <w:top w:w="28" w:type="dxa"/>
              <w:left w:w="28" w:type="dxa"/>
              <w:bottom w:w="28" w:type="dxa"/>
              <w:right w:w="28" w:type="dxa"/>
            </w:tcMar>
            <w:vAlign w:val="center"/>
          </w:tcPr>
          <w:p w14:paraId="1562D505">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有无</w:t>
            </w:r>
          </w:p>
        </w:tc>
        <w:tc>
          <w:tcPr>
            <w:tcW w:w="1874" w:type="dxa"/>
            <w:noWrap w:val="0"/>
            <w:tcMar>
              <w:top w:w="28" w:type="dxa"/>
              <w:left w:w="28" w:type="dxa"/>
              <w:bottom w:w="28" w:type="dxa"/>
              <w:right w:w="28" w:type="dxa"/>
            </w:tcMar>
            <w:vAlign w:val="center"/>
          </w:tcPr>
          <w:p w14:paraId="7239B2FE">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规模</w:t>
            </w:r>
          </w:p>
        </w:tc>
        <w:tc>
          <w:tcPr>
            <w:tcW w:w="798" w:type="dxa"/>
            <w:noWrap w:val="0"/>
            <w:tcMar>
              <w:top w:w="28" w:type="dxa"/>
              <w:left w:w="28" w:type="dxa"/>
              <w:bottom w:w="28" w:type="dxa"/>
              <w:right w:w="28" w:type="dxa"/>
            </w:tcMar>
            <w:vAlign w:val="center"/>
          </w:tcPr>
          <w:p w14:paraId="284D3F92">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有/无</w:t>
            </w:r>
          </w:p>
        </w:tc>
        <w:tc>
          <w:tcPr>
            <w:tcW w:w="1112" w:type="dxa"/>
            <w:noWrap w:val="0"/>
            <w:tcMar>
              <w:top w:w="28" w:type="dxa"/>
              <w:left w:w="28" w:type="dxa"/>
              <w:bottom w:w="28" w:type="dxa"/>
              <w:right w:w="28" w:type="dxa"/>
            </w:tcMar>
            <w:vAlign w:val="center"/>
          </w:tcPr>
          <w:p w14:paraId="27FE635D">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农田面积(km</w:t>
            </w:r>
            <w:r>
              <w:rPr>
                <w:rFonts w:hint="eastAsia" w:asciiTheme="minorEastAsia" w:hAnsiTheme="minorEastAsia" w:eastAsiaTheme="minorEastAsia" w:cstheme="minorEastAsia"/>
                <w:color w:val="auto"/>
                <w:sz w:val="21"/>
                <w:szCs w:val="21"/>
                <w:vertAlign w:val="superscript"/>
              </w:rPr>
              <w:t>2</w:t>
            </w:r>
            <w:r>
              <w:rPr>
                <w:rFonts w:hint="eastAsia" w:asciiTheme="minorEastAsia" w:hAnsiTheme="minorEastAsia" w:eastAsiaTheme="minorEastAsia" w:cstheme="minorEastAsia"/>
                <w:color w:val="auto"/>
                <w:sz w:val="21"/>
                <w:szCs w:val="21"/>
              </w:rPr>
              <w:t>)</w:t>
            </w:r>
          </w:p>
        </w:tc>
        <w:tc>
          <w:tcPr>
            <w:tcW w:w="765" w:type="dxa"/>
            <w:noWrap w:val="0"/>
            <w:tcMar>
              <w:top w:w="28" w:type="dxa"/>
              <w:left w:w="28" w:type="dxa"/>
              <w:bottom w:w="28" w:type="dxa"/>
              <w:right w:w="28" w:type="dxa"/>
            </w:tcMar>
            <w:vAlign w:val="center"/>
          </w:tcPr>
          <w:p w14:paraId="3E5ECDD5">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有/无</w:t>
            </w:r>
          </w:p>
        </w:tc>
        <w:tc>
          <w:tcPr>
            <w:tcW w:w="980" w:type="dxa"/>
            <w:noWrap w:val="0"/>
            <w:tcMar>
              <w:top w:w="28" w:type="dxa"/>
              <w:left w:w="28" w:type="dxa"/>
              <w:bottom w:w="28" w:type="dxa"/>
              <w:right w:w="28" w:type="dxa"/>
            </w:tcMar>
            <w:vAlign w:val="center"/>
          </w:tcPr>
          <w:p w14:paraId="08452B11">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规模</w:t>
            </w:r>
          </w:p>
        </w:tc>
        <w:tc>
          <w:tcPr>
            <w:tcW w:w="735" w:type="dxa"/>
            <w:vMerge w:val="continue"/>
            <w:noWrap w:val="0"/>
            <w:tcMar>
              <w:top w:w="28" w:type="dxa"/>
              <w:left w:w="28" w:type="dxa"/>
              <w:bottom w:w="28" w:type="dxa"/>
              <w:right w:w="28" w:type="dxa"/>
            </w:tcMar>
            <w:vAlign w:val="center"/>
          </w:tcPr>
          <w:p w14:paraId="58B78F7F">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r>
      <w:tr w14:paraId="1B521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595" w:type="dxa"/>
            <w:vMerge w:val="restart"/>
            <w:noWrap w:val="0"/>
            <w:tcMar>
              <w:top w:w="28" w:type="dxa"/>
              <w:left w:w="28" w:type="dxa"/>
              <w:bottom w:w="28" w:type="dxa"/>
              <w:right w:w="28" w:type="dxa"/>
            </w:tcMar>
            <w:vAlign w:val="center"/>
          </w:tcPr>
          <w:p w14:paraId="37282514">
            <w:pPr>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lang w:eastAsia="zh-CN"/>
              </w:rPr>
            </w:pPr>
            <w:bookmarkStart w:id="34" w:name="_Hlk395192017"/>
            <w:r>
              <w:rPr>
                <w:rFonts w:hint="eastAsia" w:asciiTheme="minorEastAsia" w:hAnsiTheme="minorEastAsia" w:eastAsiaTheme="minorEastAsia" w:cstheme="minorEastAsia"/>
                <w:color w:val="auto"/>
                <w:sz w:val="21"/>
                <w:szCs w:val="21"/>
                <w:lang w:eastAsia="zh-CN"/>
              </w:rPr>
              <w:t>开州区东河白鹤水厂水源地</w:t>
            </w:r>
          </w:p>
        </w:tc>
        <w:tc>
          <w:tcPr>
            <w:tcW w:w="1418" w:type="dxa"/>
            <w:noWrap w:val="0"/>
            <w:tcMar>
              <w:top w:w="28" w:type="dxa"/>
              <w:left w:w="28" w:type="dxa"/>
              <w:bottom w:w="28" w:type="dxa"/>
              <w:right w:w="28" w:type="dxa"/>
            </w:tcMar>
            <w:vAlign w:val="center"/>
          </w:tcPr>
          <w:p w14:paraId="781D0C80">
            <w:pPr>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一级保护区</w:t>
            </w:r>
          </w:p>
        </w:tc>
        <w:tc>
          <w:tcPr>
            <w:tcW w:w="850" w:type="dxa"/>
            <w:noWrap w:val="0"/>
            <w:tcMar>
              <w:top w:w="28" w:type="dxa"/>
              <w:left w:w="28" w:type="dxa"/>
              <w:bottom w:w="28" w:type="dxa"/>
              <w:right w:w="28" w:type="dxa"/>
            </w:tcMar>
            <w:vAlign w:val="center"/>
          </w:tcPr>
          <w:p w14:paraId="58A6C172">
            <w:pPr>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无</w:t>
            </w:r>
          </w:p>
        </w:tc>
        <w:tc>
          <w:tcPr>
            <w:tcW w:w="1874" w:type="dxa"/>
            <w:noWrap w:val="0"/>
            <w:tcMar>
              <w:top w:w="28" w:type="dxa"/>
              <w:left w:w="28" w:type="dxa"/>
              <w:bottom w:w="28" w:type="dxa"/>
              <w:right w:w="28" w:type="dxa"/>
            </w:tcMar>
            <w:vAlign w:val="center"/>
          </w:tcPr>
          <w:p w14:paraId="2D531B8C">
            <w:pPr>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798" w:type="dxa"/>
            <w:noWrap w:val="0"/>
            <w:tcMar>
              <w:top w:w="28" w:type="dxa"/>
              <w:left w:w="28" w:type="dxa"/>
              <w:bottom w:w="28" w:type="dxa"/>
              <w:right w:w="28" w:type="dxa"/>
            </w:tcMar>
            <w:vAlign w:val="center"/>
          </w:tcPr>
          <w:p w14:paraId="6A507A2F">
            <w:pPr>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无</w:t>
            </w:r>
          </w:p>
        </w:tc>
        <w:tc>
          <w:tcPr>
            <w:tcW w:w="1112" w:type="dxa"/>
            <w:noWrap w:val="0"/>
            <w:tcMar>
              <w:top w:w="28" w:type="dxa"/>
              <w:left w:w="28" w:type="dxa"/>
              <w:bottom w:w="28" w:type="dxa"/>
              <w:right w:w="28" w:type="dxa"/>
            </w:tcMar>
            <w:vAlign w:val="center"/>
          </w:tcPr>
          <w:p w14:paraId="3AAB04B3">
            <w:pPr>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765" w:type="dxa"/>
            <w:noWrap w:val="0"/>
            <w:tcMar>
              <w:top w:w="28" w:type="dxa"/>
              <w:left w:w="28" w:type="dxa"/>
              <w:bottom w:w="28" w:type="dxa"/>
              <w:right w:w="28" w:type="dxa"/>
            </w:tcMar>
            <w:vAlign w:val="center"/>
          </w:tcPr>
          <w:p w14:paraId="255FD0DF">
            <w:pPr>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无</w:t>
            </w:r>
          </w:p>
        </w:tc>
        <w:tc>
          <w:tcPr>
            <w:tcW w:w="980" w:type="dxa"/>
            <w:noWrap w:val="0"/>
            <w:tcMar>
              <w:top w:w="28" w:type="dxa"/>
              <w:left w:w="28" w:type="dxa"/>
              <w:bottom w:w="28" w:type="dxa"/>
              <w:right w:w="28" w:type="dxa"/>
            </w:tcMar>
            <w:vAlign w:val="center"/>
          </w:tcPr>
          <w:p w14:paraId="2233E2C1">
            <w:pPr>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735" w:type="dxa"/>
            <w:noWrap w:val="0"/>
            <w:tcMar>
              <w:top w:w="28" w:type="dxa"/>
              <w:left w:w="28" w:type="dxa"/>
              <w:bottom w:w="28" w:type="dxa"/>
              <w:right w:w="28" w:type="dxa"/>
            </w:tcMar>
            <w:vAlign w:val="center"/>
          </w:tcPr>
          <w:p w14:paraId="06B3A1F1">
            <w:pPr>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无</w:t>
            </w:r>
          </w:p>
        </w:tc>
      </w:tr>
      <w:bookmarkEnd w:id="34"/>
      <w:tr w14:paraId="76704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595" w:type="dxa"/>
            <w:vMerge w:val="continue"/>
            <w:noWrap w:val="0"/>
            <w:tcMar>
              <w:top w:w="28" w:type="dxa"/>
              <w:left w:w="28" w:type="dxa"/>
              <w:bottom w:w="28" w:type="dxa"/>
              <w:right w:w="28" w:type="dxa"/>
            </w:tcMar>
            <w:vAlign w:val="center"/>
          </w:tcPr>
          <w:p w14:paraId="2DD19AA5">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c>
          <w:tcPr>
            <w:tcW w:w="1418" w:type="dxa"/>
            <w:noWrap w:val="0"/>
            <w:tcMar>
              <w:top w:w="28" w:type="dxa"/>
              <w:left w:w="28" w:type="dxa"/>
              <w:bottom w:w="28" w:type="dxa"/>
              <w:right w:w="28" w:type="dxa"/>
            </w:tcMar>
            <w:vAlign w:val="center"/>
          </w:tcPr>
          <w:p w14:paraId="6DB285F4">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二级保护区</w:t>
            </w:r>
          </w:p>
        </w:tc>
        <w:tc>
          <w:tcPr>
            <w:tcW w:w="850" w:type="dxa"/>
            <w:noWrap w:val="0"/>
            <w:tcMar>
              <w:top w:w="28" w:type="dxa"/>
              <w:left w:w="28" w:type="dxa"/>
              <w:bottom w:w="28" w:type="dxa"/>
              <w:right w:w="28" w:type="dxa"/>
            </w:tcMar>
            <w:vAlign w:val="center"/>
          </w:tcPr>
          <w:p w14:paraId="15896E17">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无</w:t>
            </w:r>
          </w:p>
        </w:tc>
        <w:tc>
          <w:tcPr>
            <w:tcW w:w="1874" w:type="dxa"/>
            <w:noWrap w:val="0"/>
            <w:tcMar>
              <w:top w:w="28" w:type="dxa"/>
              <w:left w:w="28" w:type="dxa"/>
              <w:bottom w:w="28" w:type="dxa"/>
              <w:right w:w="28" w:type="dxa"/>
            </w:tcMar>
            <w:vAlign w:val="center"/>
          </w:tcPr>
          <w:p w14:paraId="29F87A60">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798" w:type="dxa"/>
            <w:noWrap w:val="0"/>
            <w:tcMar>
              <w:top w:w="28" w:type="dxa"/>
              <w:left w:w="28" w:type="dxa"/>
              <w:bottom w:w="28" w:type="dxa"/>
              <w:right w:w="28" w:type="dxa"/>
            </w:tcMar>
            <w:vAlign w:val="center"/>
          </w:tcPr>
          <w:p w14:paraId="4F30EFD4">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无</w:t>
            </w:r>
          </w:p>
        </w:tc>
        <w:tc>
          <w:tcPr>
            <w:tcW w:w="1112" w:type="dxa"/>
            <w:noWrap w:val="0"/>
            <w:tcMar>
              <w:top w:w="28" w:type="dxa"/>
              <w:left w:w="28" w:type="dxa"/>
              <w:bottom w:w="28" w:type="dxa"/>
              <w:right w:w="28" w:type="dxa"/>
            </w:tcMar>
            <w:vAlign w:val="center"/>
          </w:tcPr>
          <w:p w14:paraId="6E6BE520">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765" w:type="dxa"/>
            <w:noWrap w:val="0"/>
            <w:tcMar>
              <w:top w:w="28" w:type="dxa"/>
              <w:left w:w="28" w:type="dxa"/>
              <w:bottom w:w="28" w:type="dxa"/>
              <w:right w:w="28" w:type="dxa"/>
            </w:tcMar>
            <w:vAlign w:val="center"/>
          </w:tcPr>
          <w:p w14:paraId="1CF89B98">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无</w:t>
            </w:r>
          </w:p>
        </w:tc>
        <w:tc>
          <w:tcPr>
            <w:tcW w:w="980" w:type="dxa"/>
            <w:noWrap w:val="0"/>
            <w:tcMar>
              <w:top w:w="28" w:type="dxa"/>
              <w:left w:w="28" w:type="dxa"/>
              <w:bottom w:w="28" w:type="dxa"/>
              <w:right w:w="28" w:type="dxa"/>
            </w:tcMar>
            <w:vAlign w:val="center"/>
          </w:tcPr>
          <w:p w14:paraId="10A90D02">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w:t>
            </w:r>
          </w:p>
        </w:tc>
        <w:tc>
          <w:tcPr>
            <w:tcW w:w="735" w:type="dxa"/>
            <w:noWrap w:val="0"/>
            <w:tcMar>
              <w:top w:w="28" w:type="dxa"/>
              <w:left w:w="28" w:type="dxa"/>
              <w:bottom w:w="28" w:type="dxa"/>
              <w:right w:w="28" w:type="dxa"/>
            </w:tcMar>
            <w:vAlign w:val="center"/>
          </w:tcPr>
          <w:p w14:paraId="48A2529F">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无</w:t>
            </w:r>
          </w:p>
        </w:tc>
      </w:tr>
      <w:tr w14:paraId="23465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595" w:type="dxa"/>
            <w:vMerge w:val="continue"/>
            <w:noWrap w:val="0"/>
            <w:tcMar>
              <w:top w:w="28" w:type="dxa"/>
              <w:left w:w="28" w:type="dxa"/>
              <w:bottom w:w="28" w:type="dxa"/>
              <w:right w:w="28" w:type="dxa"/>
            </w:tcMar>
            <w:vAlign w:val="center"/>
          </w:tcPr>
          <w:p w14:paraId="142F0024">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c>
          <w:tcPr>
            <w:tcW w:w="1418" w:type="dxa"/>
            <w:vMerge w:val="restart"/>
            <w:noWrap w:val="0"/>
            <w:tcMar>
              <w:top w:w="28" w:type="dxa"/>
              <w:left w:w="28" w:type="dxa"/>
              <w:bottom w:w="28" w:type="dxa"/>
              <w:right w:w="28" w:type="dxa"/>
            </w:tcMar>
            <w:vAlign w:val="center"/>
          </w:tcPr>
          <w:p w14:paraId="38942B1D">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汇水区域</w:t>
            </w:r>
          </w:p>
        </w:tc>
        <w:tc>
          <w:tcPr>
            <w:tcW w:w="850" w:type="dxa"/>
            <w:vMerge w:val="restart"/>
            <w:noWrap w:val="0"/>
            <w:tcMar>
              <w:top w:w="28" w:type="dxa"/>
              <w:left w:w="28" w:type="dxa"/>
              <w:bottom w:w="28" w:type="dxa"/>
              <w:right w:w="28" w:type="dxa"/>
            </w:tcMar>
            <w:vAlign w:val="center"/>
          </w:tcPr>
          <w:p w14:paraId="03F5B6DB">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w:t>
            </w:r>
          </w:p>
        </w:tc>
        <w:tc>
          <w:tcPr>
            <w:tcW w:w="1874" w:type="dxa"/>
            <w:noWrap w:val="0"/>
            <w:tcMar>
              <w:top w:w="28" w:type="dxa"/>
              <w:left w:w="28" w:type="dxa"/>
              <w:bottom w:w="28" w:type="dxa"/>
              <w:right w:w="28" w:type="dxa"/>
            </w:tcMar>
            <w:vAlign w:val="center"/>
          </w:tcPr>
          <w:p w14:paraId="596E586D">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z w:val="21"/>
                <w:szCs w:val="21"/>
                <w:lang w:eastAsia="zh-CN"/>
              </w:rPr>
              <w:t>红江村</w:t>
            </w:r>
            <w:r>
              <w:rPr>
                <w:rFonts w:hint="eastAsia" w:asciiTheme="minorEastAsia" w:hAnsiTheme="minorEastAsia" w:eastAsiaTheme="minorEastAsia" w:cstheme="minorEastAsia"/>
                <w:color w:val="auto"/>
                <w:sz w:val="21"/>
                <w:szCs w:val="21"/>
                <w:lang w:val="en-US" w:eastAsia="zh-CN"/>
              </w:rPr>
              <w:t>2500</w:t>
            </w:r>
            <w:r>
              <w:rPr>
                <w:rFonts w:hint="eastAsia" w:asciiTheme="minorEastAsia" w:hAnsiTheme="minorEastAsia" w:eastAsiaTheme="minorEastAsia" w:cstheme="minorEastAsia"/>
                <w:color w:val="auto"/>
                <w:sz w:val="21"/>
                <w:szCs w:val="21"/>
              </w:rPr>
              <w:t>人</w:t>
            </w:r>
          </w:p>
        </w:tc>
        <w:tc>
          <w:tcPr>
            <w:tcW w:w="798" w:type="dxa"/>
            <w:vMerge w:val="restart"/>
            <w:noWrap w:val="0"/>
            <w:tcMar>
              <w:top w:w="28" w:type="dxa"/>
              <w:left w:w="28" w:type="dxa"/>
              <w:bottom w:w="28" w:type="dxa"/>
              <w:right w:w="28" w:type="dxa"/>
            </w:tcMar>
            <w:vAlign w:val="center"/>
          </w:tcPr>
          <w:p w14:paraId="03F91DD2">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w:t>
            </w:r>
          </w:p>
        </w:tc>
        <w:tc>
          <w:tcPr>
            <w:tcW w:w="1112" w:type="dxa"/>
            <w:noWrap w:val="0"/>
            <w:tcMar>
              <w:top w:w="28" w:type="dxa"/>
              <w:left w:w="28" w:type="dxa"/>
              <w:bottom w:w="28" w:type="dxa"/>
              <w:right w:w="28" w:type="dxa"/>
            </w:tcMar>
            <w:vAlign w:val="center"/>
          </w:tcPr>
          <w:p w14:paraId="6D350FD1">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1.5</w:t>
            </w:r>
          </w:p>
        </w:tc>
        <w:tc>
          <w:tcPr>
            <w:tcW w:w="765" w:type="dxa"/>
            <w:noWrap w:val="0"/>
            <w:tcMar>
              <w:top w:w="28" w:type="dxa"/>
              <w:left w:w="28" w:type="dxa"/>
              <w:bottom w:w="28" w:type="dxa"/>
              <w:right w:w="28" w:type="dxa"/>
            </w:tcMar>
            <w:vAlign w:val="center"/>
          </w:tcPr>
          <w:p w14:paraId="32FD91CF">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w:t>
            </w:r>
          </w:p>
        </w:tc>
        <w:tc>
          <w:tcPr>
            <w:tcW w:w="980" w:type="dxa"/>
            <w:noWrap w:val="0"/>
            <w:tcMar>
              <w:top w:w="28" w:type="dxa"/>
              <w:left w:w="28" w:type="dxa"/>
              <w:bottom w:w="28" w:type="dxa"/>
              <w:right w:w="28" w:type="dxa"/>
            </w:tcMar>
            <w:vAlign w:val="center"/>
          </w:tcPr>
          <w:p w14:paraId="4CB91401">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居民小单元养殖</w:t>
            </w:r>
          </w:p>
        </w:tc>
        <w:tc>
          <w:tcPr>
            <w:tcW w:w="735" w:type="dxa"/>
            <w:vMerge w:val="restart"/>
            <w:noWrap w:val="0"/>
            <w:tcMar>
              <w:top w:w="28" w:type="dxa"/>
              <w:left w:w="28" w:type="dxa"/>
              <w:bottom w:w="28" w:type="dxa"/>
              <w:right w:w="28" w:type="dxa"/>
            </w:tcMar>
            <w:vAlign w:val="center"/>
          </w:tcPr>
          <w:p w14:paraId="0908BA1B">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无</w:t>
            </w:r>
          </w:p>
        </w:tc>
      </w:tr>
      <w:tr w14:paraId="048DE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62" w:hRule="atLeast"/>
          <w:jc w:val="center"/>
        </w:trPr>
        <w:tc>
          <w:tcPr>
            <w:tcW w:w="595" w:type="dxa"/>
            <w:vMerge w:val="continue"/>
            <w:noWrap w:val="0"/>
            <w:tcMar>
              <w:top w:w="28" w:type="dxa"/>
              <w:left w:w="28" w:type="dxa"/>
              <w:bottom w:w="28" w:type="dxa"/>
              <w:right w:w="28" w:type="dxa"/>
            </w:tcMar>
            <w:vAlign w:val="center"/>
          </w:tcPr>
          <w:p w14:paraId="4A11E3E3">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c>
          <w:tcPr>
            <w:tcW w:w="1418" w:type="dxa"/>
            <w:vMerge w:val="continue"/>
            <w:noWrap w:val="0"/>
            <w:tcMar>
              <w:top w:w="28" w:type="dxa"/>
              <w:left w:w="28" w:type="dxa"/>
              <w:bottom w:w="28" w:type="dxa"/>
              <w:right w:w="28" w:type="dxa"/>
            </w:tcMar>
            <w:vAlign w:val="center"/>
          </w:tcPr>
          <w:p w14:paraId="030FFA0C">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c>
          <w:tcPr>
            <w:tcW w:w="850" w:type="dxa"/>
            <w:vMerge w:val="continue"/>
            <w:noWrap w:val="0"/>
            <w:tcMar>
              <w:top w:w="28" w:type="dxa"/>
              <w:left w:w="28" w:type="dxa"/>
              <w:bottom w:w="28" w:type="dxa"/>
              <w:right w:w="28" w:type="dxa"/>
            </w:tcMar>
            <w:vAlign w:val="center"/>
          </w:tcPr>
          <w:p w14:paraId="398A28EF">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c>
          <w:tcPr>
            <w:tcW w:w="1874" w:type="dxa"/>
            <w:noWrap w:val="0"/>
            <w:tcMar>
              <w:top w:w="28" w:type="dxa"/>
              <w:left w:w="28" w:type="dxa"/>
              <w:bottom w:w="28" w:type="dxa"/>
              <w:right w:w="28" w:type="dxa"/>
            </w:tcMar>
            <w:vAlign w:val="center"/>
          </w:tcPr>
          <w:p w14:paraId="5C76DDD7">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eastAsia="zh-CN"/>
              </w:rPr>
              <w:t>红亮村</w:t>
            </w:r>
            <w:r>
              <w:rPr>
                <w:rFonts w:hint="eastAsia" w:asciiTheme="minorEastAsia" w:hAnsiTheme="minorEastAsia" w:eastAsiaTheme="minorEastAsia" w:cstheme="minorEastAsia"/>
                <w:color w:val="auto"/>
                <w:sz w:val="21"/>
                <w:szCs w:val="21"/>
                <w:lang w:val="en-US" w:eastAsia="zh-CN"/>
              </w:rPr>
              <w:t>3000</w:t>
            </w:r>
            <w:r>
              <w:rPr>
                <w:rFonts w:hint="eastAsia" w:asciiTheme="minorEastAsia" w:hAnsiTheme="minorEastAsia" w:eastAsiaTheme="minorEastAsia" w:cstheme="minorEastAsia"/>
                <w:color w:val="auto"/>
                <w:sz w:val="21"/>
                <w:szCs w:val="21"/>
              </w:rPr>
              <w:t>人</w:t>
            </w:r>
          </w:p>
        </w:tc>
        <w:tc>
          <w:tcPr>
            <w:tcW w:w="798" w:type="dxa"/>
            <w:vMerge w:val="continue"/>
            <w:noWrap w:val="0"/>
            <w:tcMar>
              <w:top w:w="28" w:type="dxa"/>
              <w:left w:w="28" w:type="dxa"/>
              <w:bottom w:w="28" w:type="dxa"/>
              <w:right w:w="28" w:type="dxa"/>
            </w:tcMar>
            <w:vAlign w:val="center"/>
          </w:tcPr>
          <w:p w14:paraId="225C14E8">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c>
          <w:tcPr>
            <w:tcW w:w="1112" w:type="dxa"/>
            <w:noWrap w:val="0"/>
            <w:tcMar>
              <w:top w:w="28" w:type="dxa"/>
              <w:left w:w="28" w:type="dxa"/>
              <w:bottom w:w="28" w:type="dxa"/>
              <w:right w:w="28" w:type="dxa"/>
            </w:tcMar>
            <w:vAlign w:val="center"/>
          </w:tcPr>
          <w:p w14:paraId="58EE896C">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1.</w:t>
            </w:r>
            <w:r>
              <w:rPr>
                <w:rFonts w:hint="eastAsia" w:asciiTheme="minorEastAsia" w:hAnsiTheme="minorEastAsia" w:eastAsiaTheme="minorEastAsia" w:cstheme="minorEastAsia"/>
                <w:color w:val="auto"/>
                <w:sz w:val="21"/>
                <w:szCs w:val="21"/>
                <w:lang w:val="en-US" w:eastAsia="zh-CN"/>
              </w:rPr>
              <w:t>7</w:t>
            </w:r>
          </w:p>
        </w:tc>
        <w:tc>
          <w:tcPr>
            <w:tcW w:w="765" w:type="dxa"/>
            <w:noWrap w:val="0"/>
            <w:tcMar>
              <w:top w:w="28" w:type="dxa"/>
              <w:left w:w="28" w:type="dxa"/>
              <w:bottom w:w="28" w:type="dxa"/>
              <w:right w:w="28" w:type="dxa"/>
            </w:tcMar>
            <w:vAlign w:val="center"/>
          </w:tcPr>
          <w:p w14:paraId="78D28F62">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w:t>
            </w:r>
          </w:p>
        </w:tc>
        <w:tc>
          <w:tcPr>
            <w:tcW w:w="980" w:type="dxa"/>
            <w:noWrap w:val="0"/>
            <w:tcMar>
              <w:top w:w="28" w:type="dxa"/>
              <w:left w:w="28" w:type="dxa"/>
              <w:bottom w:w="28" w:type="dxa"/>
              <w:right w:w="28" w:type="dxa"/>
            </w:tcMar>
            <w:vAlign w:val="center"/>
          </w:tcPr>
          <w:p w14:paraId="48CA5842">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居民小单元养殖</w:t>
            </w:r>
          </w:p>
        </w:tc>
        <w:tc>
          <w:tcPr>
            <w:tcW w:w="735" w:type="dxa"/>
            <w:vMerge w:val="continue"/>
            <w:noWrap w:val="0"/>
            <w:tcMar>
              <w:top w:w="28" w:type="dxa"/>
              <w:left w:w="28" w:type="dxa"/>
              <w:bottom w:w="28" w:type="dxa"/>
              <w:right w:w="28" w:type="dxa"/>
            </w:tcMar>
            <w:vAlign w:val="center"/>
          </w:tcPr>
          <w:p w14:paraId="7EB836E8">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r>
      <w:tr w14:paraId="53C2D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62" w:hRule="atLeast"/>
          <w:jc w:val="center"/>
        </w:trPr>
        <w:tc>
          <w:tcPr>
            <w:tcW w:w="595" w:type="dxa"/>
            <w:vMerge w:val="continue"/>
            <w:noWrap w:val="0"/>
            <w:tcMar>
              <w:top w:w="28" w:type="dxa"/>
              <w:left w:w="28" w:type="dxa"/>
              <w:bottom w:w="28" w:type="dxa"/>
              <w:right w:w="28" w:type="dxa"/>
            </w:tcMar>
            <w:vAlign w:val="center"/>
          </w:tcPr>
          <w:p w14:paraId="0B99E355">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c>
          <w:tcPr>
            <w:tcW w:w="1418" w:type="dxa"/>
            <w:vMerge w:val="continue"/>
            <w:noWrap w:val="0"/>
            <w:tcMar>
              <w:top w:w="28" w:type="dxa"/>
              <w:left w:w="28" w:type="dxa"/>
              <w:bottom w:w="28" w:type="dxa"/>
              <w:right w:w="28" w:type="dxa"/>
            </w:tcMar>
            <w:vAlign w:val="center"/>
          </w:tcPr>
          <w:p w14:paraId="1F9D613B">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c>
          <w:tcPr>
            <w:tcW w:w="850" w:type="dxa"/>
            <w:vMerge w:val="continue"/>
            <w:noWrap w:val="0"/>
            <w:tcMar>
              <w:top w:w="28" w:type="dxa"/>
              <w:left w:w="28" w:type="dxa"/>
              <w:bottom w:w="28" w:type="dxa"/>
              <w:right w:w="28" w:type="dxa"/>
            </w:tcMar>
            <w:vAlign w:val="center"/>
          </w:tcPr>
          <w:p w14:paraId="63FE592C">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c>
          <w:tcPr>
            <w:tcW w:w="1874" w:type="dxa"/>
            <w:noWrap w:val="0"/>
            <w:tcMar>
              <w:top w:w="28" w:type="dxa"/>
              <w:left w:w="28" w:type="dxa"/>
              <w:bottom w:w="28" w:type="dxa"/>
              <w:right w:w="28" w:type="dxa"/>
            </w:tcMar>
            <w:vAlign w:val="center"/>
          </w:tcPr>
          <w:p w14:paraId="0FC5A39B">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z w:val="21"/>
                <w:szCs w:val="21"/>
                <w:lang w:eastAsia="zh-CN"/>
              </w:rPr>
              <w:t>荷花村</w:t>
            </w:r>
            <w:r>
              <w:rPr>
                <w:rFonts w:hint="eastAsia" w:asciiTheme="minorEastAsia" w:hAnsiTheme="minorEastAsia" w:eastAsiaTheme="minorEastAsia" w:cstheme="minorEastAsia"/>
                <w:color w:val="auto"/>
                <w:sz w:val="21"/>
                <w:szCs w:val="21"/>
                <w:lang w:val="en-US" w:eastAsia="zh-CN"/>
              </w:rPr>
              <w:t>2200</w:t>
            </w:r>
            <w:r>
              <w:rPr>
                <w:rFonts w:hint="eastAsia" w:asciiTheme="minorEastAsia" w:hAnsiTheme="minorEastAsia" w:eastAsiaTheme="minorEastAsia" w:cstheme="minorEastAsia"/>
                <w:color w:val="auto"/>
                <w:sz w:val="21"/>
                <w:szCs w:val="21"/>
              </w:rPr>
              <w:t>人</w:t>
            </w:r>
          </w:p>
        </w:tc>
        <w:tc>
          <w:tcPr>
            <w:tcW w:w="798" w:type="dxa"/>
            <w:vMerge w:val="continue"/>
            <w:noWrap w:val="0"/>
            <w:tcMar>
              <w:top w:w="28" w:type="dxa"/>
              <w:left w:w="28" w:type="dxa"/>
              <w:bottom w:w="28" w:type="dxa"/>
              <w:right w:w="28" w:type="dxa"/>
            </w:tcMar>
            <w:vAlign w:val="center"/>
          </w:tcPr>
          <w:p w14:paraId="0534AB65">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p>
        </w:tc>
        <w:tc>
          <w:tcPr>
            <w:tcW w:w="1112" w:type="dxa"/>
            <w:noWrap w:val="0"/>
            <w:tcMar>
              <w:top w:w="28" w:type="dxa"/>
              <w:left w:w="28" w:type="dxa"/>
              <w:bottom w:w="28" w:type="dxa"/>
              <w:right w:w="28" w:type="dxa"/>
            </w:tcMar>
            <w:vAlign w:val="center"/>
          </w:tcPr>
          <w:p w14:paraId="6E168CF4">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z w:val="21"/>
                <w:szCs w:val="21"/>
              </w:rPr>
              <w:t>1.35</w:t>
            </w:r>
          </w:p>
        </w:tc>
        <w:tc>
          <w:tcPr>
            <w:tcW w:w="765" w:type="dxa"/>
            <w:noWrap w:val="0"/>
            <w:tcMar>
              <w:top w:w="28" w:type="dxa"/>
              <w:left w:w="28" w:type="dxa"/>
              <w:bottom w:w="28" w:type="dxa"/>
              <w:right w:w="28" w:type="dxa"/>
            </w:tcMar>
            <w:vAlign w:val="center"/>
          </w:tcPr>
          <w:p w14:paraId="0ECD5396">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z w:val="21"/>
                <w:szCs w:val="21"/>
              </w:rPr>
              <w:t>有</w:t>
            </w:r>
          </w:p>
        </w:tc>
        <w:tc>
          <w:tcPr>
            <w:tcW w:w="980" w:type="dxa"/>
            <w:noWrap w:val="0"/>
            <w:tcMar>
              <w:top w:w="28" w:type="dxa"/>
              <w:left w:w="28" w:type="dxa"/>
              <w:bottom w:w="28" w:type="dxa"/>
              <w:right w:w="28" w:type="dxa"/>
            </w:tcMar>
            <w:vAlign w:val="center"/>
          </w:tcPr>
          <w:p w14:paraId="3C80923F">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kern w:val="0"/>
                <w:sz w:val="21"/>
                <w:szCs w:val="21"/>
                <w:lang w:val="en-US" w:eastAsia="zh-CN" w:bidi="ar-SA"/>
              </w:rPr>
            </w:pPr>
            <w:r>
              <w:rPr>
                <w:rFonts w:hint="eastAsia" w:asciiTheme="minorEastAsia" w:hAnsiTheme="minorEastAsia" w:eastAsiaTheme="minorEastAsia" w:cstheme="minorEastAsia"/>
                <w:color w:val="auto"/>
                <w:sz w:val="21"/>
                <w:szCs w:val="21"/>
              </w:rPr>
              <w:t>居民小单元养殖</w:t>
            </w:r>
          </w:p>
        </w:tc>
        <w:tc>
          <w:tcPr>
            <w:tcW w:w="735" w:type="dxa"/>
            <w:vMerge w:val="continue"/>
            <w:noWrap w:val="0"/>
            <w:tcMar>
              <w:top w:w="28" w:type="dxa"/>
              <w:left w:w="28" w:type="dxa"/>
              <w:bottom w:w="28" w:type="dxa"/>
              <w:right w:w="28" w:type="dxa"/>
            </w:tcMar>
            <w:vAlign w:val="center"/>
          </w:tcPr>
          <w:p w14:paraId="18C38EFE">
            <w:pPr>
              <w:pStyle w:val="29"/>
              <w:keepNext w:val="0"/>
              <w:keepLines w:val="0"/>
              <w:pageBreakBefore w:val="0"/>
              <w:kinsoku/>
              <w:wordWrap/>
              <w:overflowPunct/>
              <w:topLinePunct w:val="0"/>
              <w:autoSpaceDE/>
              <w:autoSpaceDN/>
              <w:bidi w:val="0"/>
              <w:spacing w:line="240" w:lineRule="atLeast"/>
              <w:ind w:firstLine="0" w:firstLineChars="0"/>
              <w:jc w:val="center"/>
              <w:rPr>
                <w:rFonts w:hint="eastAsia" w:asciiTheme="minorEastAsia" w:hAnsiTheme="minorEastAsia" w:eastAsiaTheme="minorEastAsia" w:cstheme="minorEastAsia"/>
                <w:color w:val="auto"/>
                <w:sz w:val="21"/>
                <w:szCs w:val="21"/>
              </w:rPr>
            </w:pPr>
          </w:p>
        </w:tc>
      </w:tr>
    </w:tbl>
    <w:p w14:paraId="23D53164">
      <w:pPr>
        <w:bidi w:val="0"/>
        <w:rPr>
          <w:rFonts w:hint="eastAsia"/>
          <w:lang w:val="en-US" w:eastAsia="zh-CN"/>
        </w:rPr>
      </w:pPr>
    </w:p>
    <w:p w14:paraId="0DA2ACC5">
      <w:pPr>
        <w:bidi w:val="0"/>
        <w:rPr>
          <w:rFonts w:hint="eastAsia"/>
          <w:lang w:val="en-US" w:eastAsia="zh-CN"/>
        </w:rPr>
      </w:pPr>
      <w:r>
        <w:rPr>
          <w:rFonts w:hint="eastAsia"/>
          <w:lang w:val="en-US" w:eastAsia="zh-CN"/>
        </w:rPr>
        <w:br w:type="page"/>
      </w:r>
    </w:p>
    <w:p w14:paraId="15F4CF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bCs/>
          <w:color w:val="auto"/>
          <w:kern w:val="2"/>
          <w:sz w:val="32"/>
          <w:szCs w:val="32"/>
          <w:lang w:val="en-US" w:eastAsia="zh-CN" w:bidi="ar-SA"/>
        </w:rPr>
      </w:pPr>
      <w:bookmarkStart w:id="35" w:name="_Toc24550"/>
      <w:bookmarkStart w:id="36" w:name="_Toc21990"/>
      <w:r>
        <w:rPr>
          <w:rFonts w:hint="eastAsia" w:ascii="宋体" w:hAnsi="宋体" w:eastAsia="宋体" w:cs="宋体"/>
          <w:b/>
          <w:bCs/>
          <w:color w:val="auto"/>
          <w:kern w:val="2"/>
          <w:sz w:val="32"/>
          <w:szCs w:val="32"/>
          <w:lang w:val="en-US" w:eastAsia="zh-CN" w:bidi="ar-SA"/>
        </w:rPr>
        <w:t>3 应急组织机构体系及职责</w:t>
      </w:r>
      <w:bookmarkEnd w:id="35"/>
      <w:bookmarkEnd w:id="36"/>
    </w:p>
    <w:p w14:paraId="3ADA1FA3">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eastAsia" w:ascii="宋体" w:hAnsi="宋体" w:eastAsia="宋体" w:cs="宋体"/>
          <w:b/>
          <w:bCs/>
          <w:color w:val="auto"/>
          <w:kern w:val="2"/>
          <w:sz w:val="32"/>
          <w:szCs w:val="32"/>
          <w:lang w:val="en-US" w:eastAsia="zh-CN" w:bidi="ar-SA"/>
        </w:rPr>
      </w:pPr>
      <w:bookmarkStart w:id="37" w:name="_Toc30394"/>
      <w:bookmarkStart w:id="38" w:name="_Toc20276"/>
      <w:r>
        <w:rPr>
          <w:rFonts w:hint="eastAsia" w:ascii="宋体" w:hAnsi="宋体" w:eastAsia="宋体" w:cs="宋体"/>
          <w:b/>
          <w:bCs/>
          <w:color w:val="auto"/>
          <w:kern w:val="2"/>
          <w:sz w:val="32"/>
          <w:szCs w:val="32"/>
          <w:lang w:val="en-US" w:eastAsia="zh-CN" w:bidi="ar-SA"/>
        </w:rPr>
        <w:t>3.1 应急组织机构</w:t>
      </w:r>
      <w:bookmarkEnd w:id="37"/>
      <w:bookmarkEnd w:id="38"/>
    </w:p>
    <w:p w14:paraId="34BEC93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白鹤街道</w:t>
      </w:r>
      <w:r>
        <w:rPr>
          <w:rFonts w:hint="eastAsia" w:ascii="宋体" w:hAnsi="宋体" w:eastAsia="宋体" w:cs="宋体"/>
          <w:color w:val="auto"/>
          <w:sz w:val="28"/>
          <w:szCs w:val="28"/>
          <w:lang w:val="en-US" w:eastAsia="zh-CN"/>
        </w:rPr>
        <w:t>是负责重庆市开州区</w:t>
      </w:r>
      <w:r>
        <w:rPr>
          <w:rFonts w:hint="eastAsia" w:ascii="宋体" w:hAnsi="宋体" w:cs="宋体"/>
          <w:color w:val="auto"/>
          <w:sz w:val="28"/>
          <w:szCs w:val="28"/>
          <w:lang w:val="en-US" w:eastAsia="zh-CN"/>
        </w:rPr>
        <w:t>白鹤街道</w:t>
      </w:r>
      <w:r>
        <w:rPr>
          <w:rFonts w:hint="eastAsia" w:ascii="宋体" w:hAnsi="宋体" w:eastAsia="宋体" w:cs="宋体"/>
          <w:color w:val="auto"/>
          <w:sz w:val="28"/>
          <w:szCs w:val="28"/>
          <w:lang w:val="en-US" w:eastAsia="zh-CN"/>
        </w:rPr>
        <w:t>突发环境事件应急管理工作的行政领导机关。根据工作需要，成立</w:t>
      </w:r>
      <w:r>
        <w:rPr>
          <w:rFonts w:hint="eastAsia" w:ascii="宋体" w:hAnsi="宋体" w:cs="宋体"/>
          <w:color w:val="auto"/>
          <w:sz w:val="28"/>
          <w:szCs w:val="28"/>
          <w:lang w:val="en-US" w:eastAsia="zh-CN"/>
        </w:rPr>
        <w:t>白鹤街道</w:t>
      </w:r>
      <w:r>
        <w:rPr>
          <w:rFonts w:hint="eastAsia" w:ascii="宋体" w:hAnsi="宋体" w:eastAsia="宋体" w:cs="宋体"/>
          <w:color w:val="auto"/>
          <w:sz w:val="28"/>
          <w:szCs w:val="28"/>
          <w:lang w:val="en-US" w:eastAsia="zh-CN"/>
        </w:rPr>
        <w:t>应急领导小组（以下简称“应急领导小组”），统一领导重庆市开州区</w:t>
      </w:r>
      <w:r>
        <w:rPr>
          <w:rFonts w:hint="eastAsia" w:ascii="宋体" w:hAnsi="宋体" w:cs="宋体"/>
          <w:color w:val="auto"/>
          <w:sz w:val="28"/>
          <w:szCs w:val="28"/>
          <w:lang w:val="en-US" w:eastAsia="zh-CN"/>
        </w:rPr>
        <w:t>白鹤街道</w:t>
      </w:r>
      <w:r>
        <w:rPr>
          <w:rFonts w:hint="eastAsia" w:ascii="宋体" w:hAnsi="宋体" w:eastAsia="宋体" w:cs="宋体"/>
          <w:color w:val="auto"/>
          <w:sz w:val="28"/>
          <w:szCs w:val="28"/>
          <w:lang w:val="en-US" w:eastAsia="zh-CN"/>
        </w:rPr>
        <w:t>突发环境事件应对工作，对重庆市开州区</w:t>
      </w:r>
      <w:r>
        <w:rPr>
          <w:rFonts w:hint="eastAsia" w:ascii="宋体" w:hAnsi="宋体" w:cs="宋体"/>
          <w:color w:val="auto"/>
          <w:sz w:val="28"/>
          <w:szCs w:val="28"/>
          <w:lang w:val="en-US" w:eastAsia="zh-CN"/>
        </w:rPr>
        <w:t>白鹤街道</w:t>
      </w:r>
      <w:r>
        <w:rPr>
          <w:rFonts w:hint="eastAsia" w:ascii="宋体" w:hAnsi="宋体" w:eastAsia="宋体" w:cs="宋体"/>
          <w:color w:val="auto"/>
          <w:sz w:val="28"/>
          <w:szCs w:val="28"/>
          <w:lang w:val="en-US" w:eastAsia="zh-CN"/>
        </w:rPr>
        <w:t>突发环境事件的应急管理、应急处置和灾后重建工作的实施领导，负责统一指挥突发环境事件应急处置工作。</w:t>
      </w:r>
    </w:p>
    <w:p w14:paraId="377C1C79">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应急领导小组组长由重庆市开州区白鹤街道党工委书记担任，副组长由重庆市开州区白鹤街道街道办事处主任担任，应急领导小组成员由街道办事处副主任、各相关部门负责人及各社区、村负责人担任。</w:t>
      </w:r>
    </w:p>
    <w:p w14:paraId="6AD5B10D">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lef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应急领导小组下设突发环境事件应急办公室（以下简称“应急办公室”），应急办公室设在白鹤街道</w:t>
      </w:r>
      <w:r>
        <w:rPr>
          <w:rFonts w:hint="eastAsia" w:ascii="宋体" w:hAnsi="宋体" w:eastAsia="宋体" w:cs="宋体"/>
          <w:bCs/>
          <w:color w:val="auto"/>
          <w:sz w:val="28"/>
          <w:szCs w:val="28"/>
          <w:lang w:val="en-US" w:eastAsia="zh-CN"/>
        </w:rPr>
        <w:t>园区服务中心</w:t>
      </w:r>
      <w:r>
        <w:rPr>
          <w:rFonts w:hint="eastAsia" w:ascii="宋体" w:hAnsi="宋体" w:eastAsia="宋体" w:cs="宋体"/>
          <w:color w:val="auto"/>
          <w:sz w:val="28"/>
          <w:szCs w:val="28"/>
          <w:lang w:val="en-US" w:eastAsia="zh-CN"/>
        </w:rPr>
        <w:t>，由</w:t>
      </w:r>
      <w:r>
        <w:rPr>
          <w:rFonts w:hint="eastAsia" w:ascii="宋体" w:hAnsi="宋体" w:eastAsia="宋体" w:cs="宋体"/>
          <w:bCs/>
          <w:color w:val="auto"/>
          <w:sz w:val="28"/>
          <w:szCs w:val="28"/>
          <w:lang w:val="en-US" w:eastAsia="zh-CN"/>
        </w:rPr>
        <w:t>园区服务中心副主任</w:t>
      </w:r>
      <w:r>
        <w:rPr>
          <w:rFonts w:hint="eastAsia" w:ascii="宋体" w:hAnsi="宋体" w:eastAsia="宋体" w:cs="宋体"/>
          <w:color w:val="auto"/>
          <w:sz w:val="28"/>
          <w:szCs w:val="28"/>
          <w:lang w:val="en-US" w:eastAsia="zh-CN"/>
        </w:rPr>
        <w:t>兼任应急办主任，</w:t>
      </w:r>
      <w:r>
        <w:rPr>
          <w:rFonts w:hint="eastAsia" w:ascii="宋体" w:hAnsi="宋体" w:eastAsia="宋体" w:cs="宋体"/>
          <w:bCs/>
          <w:color w:val="auto"/>
          <w:sz w:val="28"/>
          <w:szCs w:val="28"/>
          <w:lang w:val="en-US" w:eastAsia="zh-CN"/>
        </w:rPr>
        <w:t>园区服务中心</w:t>
      </w:r>
      <w:r>
        <w:rPr>
          <w:rFonts w:hint="eastAsia" w:ascii="宋体" w:hAnsi="宋体" w:eastAsia="宋体" w:cs="宋体"/>
          <w:color w:val="auto"/>
          <w:sz w:val="28"/>
          <w:szCs w:val="28"/>
          <w:lang w:val="en-US" w:eastAsia="zh-CN"/>
        </w:rPr>
        <w:t>从事应急工作的相关同志为办公室成员。</w:t>
      </w:r>
    </w:p>
    <w:p w14:paraId="65B85EBB">
      <w:pPr>
        <w:keepNext/>
        <w:keepLines/>
        <w:pageBreakBefore w:val="0"/>
        <w:widowControl w:val="0"/>
        <w:kinsoku/>
        <w:wordWrap/>
        <w:overflowPunct/>
        <w:topLinePunct w:val="0"/>
        <w:autoSpaceDE/>
        <w:autoSpaceDN/>
        <w:bidi w:val="0"/>
        <w:adjustRightInd/>
        <w:snapToGrid/>
        <w:spacing w:before="0" w:beforeLines="0" w:after="0" w:afterLines="0" w:line="360" w:lineRule="auto"/>
        <w:ind w:left="0"/>
        <w:jc w:val="left"/>
        <w:textAlignment w:val="auto"/>
        <w:outlineLvl w:val="1"/>
        <w:rPr>
          <w:rFonts w:hint="default" w:ascii="宋体" w:hAnsi="宋体" w:eastAsia="宋体" w:cs="宋体"/>
          <w:b/>
          <w:bCs/>
          <w:color w:val="auto"/>
          <w:kern w:val="2"/>
          <w:sz w:val="32"/>
          <w:szCs w:val="32"/>
          <w:lang w:val="en-US" w:eastAsia="zh-CN" w:bidi="ar-SA"/>
        </w:rPr>
      </w:pPr>
      <w:bookmarkStart w:id="39" w:name="_Toc4021"/>
      <w:bookmarkStart w:id="40" w:name="_Toc26095"/>
      <w:r>
        <w:rPr>
          <w:rFonts w:hint="eastAsia" w:ascii="宋体" w:hAnsi="宋体" w:eastAsia="宋体" w:cs="宋体"/>
          <w:b/>
          <w:bCs/>
          <w:color w:val="auto"/>
          <w:kern w:val="2"/>
          <w:sz w:val="32"/>
          <w:szCs w:val="32"/>
          <w:lang w:val="en-US" w:eastAsia="zh-CN" w:bidi="ar-SA"/>
        </w:rPr>
        <w:t>3.2 应急工作机构及职责</w:t>
      </w:r>
      <w:bookmarkEnd w:id="39"/>
      <w:bookmarkEnd w:id="40"/>
    </w:p>
    <w:p w14:paraId="18F9A3E6">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3.2.1 应急指挥部体系</w:t>
      </w:r>
    </w:p>
    <w:p w14:paraId="28389D5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生突发环境事件时，应急领导小组自动转换为突发环境事件应急指挥部（以下简称“应急指挥部”），应急指挥部为突发环境事件现场应急指挥机构，应急领导小组组长自动转换为应急总指挥，副组长转换为副总指挥。</w:t>
      </w:r>
    </w:p>
    <w:p w14:paraId="36D81D9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应急指挥部按照职责分工和协同联动工作需要；下设3个应急工作组：现场处置组、综合协调组、警戒疏散组，开展突发环境事件及其次生、衍生灾害的应急处置工作。应急工作体系图见图3</w:t>
      </w:r>
      <w:r>
        <w:rPr>
          <w:rFonts w:hint="default" w:ascii="宋体" w:hAnsi="宋体" w:eastAsia="宋体" w:cs="宋体"/>
          <w:color w:val="auto"/>
          <w:sz w:val="28"/>
          <w:szCs w:val="28"/>
          <w:lang w:val="en-US" w:eastAsia="zh-CN"/>
        </w:rPr>
        <w:t>-</w:t>
      </w:r>
      <w:r>
        <w:rPr>
          <w:rFonts w:hint="eastAsia" w:ascii="宋体" w:hAnsi="宋体" w:eastAsia="宋体" w:cs="宋体"/>
          <w:color w:val="auto"/>
          <w:sz w:val="28"/>
          <w:szCs w:val="28"/>
          <w:lang w:val="en-US" w:eastAsia="zh-CN"/>
        </w:rPr>
        <w:t>2。</w:t>
      </w:r>
    </w:p>
    <w:p w14:paraId="0DDBFDBF">
      <w:pPr>
        <w:pageBreakBefore w:val="0"/>
        <w:kinsoku/>
        <w:wordWrap/>
        <w:overflowPunct/>
        <w:topLinePunct w:val="0"/>
        <w:bidi w:val="0"/>
        <w:spacing w:before="0" w:beforeLines="0" w:after="0" w:afterLines="0"/>
        <w:ind w:left="0"/>
        <w:jc w:val="center"/>
        <w:textAlignment w:val="auto"/>
        <w:outlineLvl w:val="9"/>
        <w:rPr>
          <w:rFonts w:hint="eastAsia" w:ascii="宋体" w:hAnsi="宋体" w:eastAsia="宋体" w:cs="宋体"/>
          <w:b/>
          <w:bCs/>
          <w:color w:val="auto"/>
          <w:sz w:val="24"/>
          <w:szCs w:val="24"/>
          <w:lang w:val="en-US" w:eastAsia="zh-CN"/>
        </w:rPr>
      </w:pPr>
      <w:r>
        <w:rPr>
          <w:color w:val="auto"/>
          <w:sz w:val="24"/>
        </w:rPr>
        <mc:AlternateContent>
          <mc:Choice Requires="wpg">
            <w:drawing>
              <wp:anchor distT="0" distB="0" distL="114300" distR="114300" simplePos="0" relativeHeight="251662336" behindDoc="0" locked="0" layoutInCell="1" allowOverlap="1">
                <wp:simplePos x="0" y="0"/>
                <wp:positionH relativeFrom="column">
                  <wp:posOffset>1523365</wp:posOffset>
                </wp:positionH>
                <wp:positionV relativeFrom="page">
                  <wp:posOffset>1042670</wp:posOffset>
                </wp:positionV>
                <wp:extent cx="2799715" cy="2386330"/>
                <wp:effectExtent l="4445" t="4445" r="15240" b="9525"/>
                <wp:wrapTopAndBottom/>
                <wp:docPr id="66" name="组合 66"/>
                <wp:cNvGraphicFramePr/>
                <a:graphic xmlns:a="http://schemas.openxmlformats.org/drawingml/2006/main">
                  <a:graphicData uri="http://schemas.microsoft.com/office/word/2010/wordprocessingGroup">
                    <wpg:wgp>
                      <wpg:cNvGrpSpPr/>
                      <wpg:grpSpPr>
                        <a:xfrm>
                          <a:off x="0" y="0"/>
                          <a:ext cx="2799715" cy="2386330"/>
                          <a:chOff x="7345" y="244510"/>
                          <a:chExt cx="4409" cy="3758"/>
                        </a:xfrm>
                        <a:effectLst/>
                      </wpg:grpSpPr>
                      <wps:wsp>
                        <wps:cNvPr id="65" name="矩形 55"/>
                        <wps:cNvSpPr/>
                        <wps:spPr>
                          <a:xfrm>
                            <a:off x="8728" y="244510"/>
                            <a:ext cx="1763" cy="72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D213D32">
                              <w:pPr>
                                <w:jc w:val="center"/>
                                <w:rPr>
                                  <w:rFonts w:hint="eastAsia" w:eastAsia="宋体"/>
                                  <w:sz w:val="28"/>
                                  <w:szCs w:val="28"/>
                                  <w:lang w:eastAsia="zh-CN"/>
                                </w:rPr>
                              </w:pPr>
                              <w:r>
                                <w:rPr>
                                  <w:rFonts w:hint="eastAsia"/>
                                  <w:sz w:val="28"/>
                                  <w:szCs w:val="28"/>
                                  <w:lang w:eastAsia="zh-CN"/>
                                </w:rPr>
                                <w:t>应急指挥部</w:t>
                              </w:r>
                            </w:p>
                          </w:txbxContent>
                        </wps:txbx>
                        <wps:bodyPr upright="1"/>
                      </wps:wsp>
                      <wps:wsp>
                        <wps:cNvPr id="67" name="矩形 57"/>
                        <wps:cNvSpPr/>
                        <wps:spPr>
                          <a:xfrm>
                            <a:off x="9347"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973192">
                              <w:pPr>
                                <w:rPr>
                                  <w:rFonts w:hint="eastAsia" w:eastAsia="宋体" w:cs="Times New Roman"/>
                                  <w:sz w:val="24"/>
                                  <w:szCs w:val="24"/>
                                  <w:lang w:eastAsia="zh-CN"/>
                                </w:rPr>
                              </w:pPr>
                              <w:r>
                                <w:rPr>
                                  <w:rFonts w:hint="eastAsia" w:eastAsia="宋体" w:cs="Times New Roman"/>
                                  <w:sz w:val="24"/>
                                  <w:szCs w:val="24"/>
                                  <w:lang w:eastAsia="zh-CN"/>
                                </w:rPr>
                                <w:t>综合协调组</w:t>
                              </w:r>
                            </w:p>
                          </w:txbxContent>
                        </wps:txbx>
                        <wps:bodyPr upright="1"/>
                      </wps:wsp>
                      <wps:wsp>
                        <wps:cNvPr id="68" name="矩形 58"/>
                        <wps:cNvSpPr/>
                        <wps:spPr>
                          <a:xfrm>
                            <a:off x="11185"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9FD1676">
                              <w:pPr>
                                <w:rPr>
                                  <w:rFonts w:hint="eastAsia" w:eastAsia="宋体"/>
                                  <w:sz w:val="24"/>
                                  <w:szCs w:val="24"/>
                                  <w:lang w:eastAsia="zh-CN"/>
                                </w:rPr>
                              </w:pPr>
                              <w:r>
                                <w:rPr>
                                  <w:rFonts w:hint="eastAsia"/>
                                  <w:sz w:val="24"/>
                                  <w:szCs w:val="24"/>
                                  <w:lang w:eastAsia="zh-CN"/>
                                </w:rPr>
                                <w:t>警戒疏散组</w:t>
                              </w:r>
                            </w:p>
                            <w:p w14:paraId="5C647FD6">
                              <w:pPr>
                                <w:rPr>
                                  <w:rFonts w:hint="eastAsia"/>
                                  <w:lang w:eastAsia="zh-CN"/>
                                </w:rPr>
                              </w:pPr>
                            </w:p>
                          </w:txbxContent>
                        </wps:txbx>
                        <wps:bodyPr upright="1"/>
                      </wps:wsp>
                      <wps:wsp>
                        <wps:cNvPr id="69" name="矩形 59"/>
                        <wps:cNvSpPr/>
                        <wps:spPr>
                          <a:xfrm>
                            <a:off x="7345" y="246566"/>
                            <a:ext cx="569" cy="17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92D1AD">
                              <w:pPr>
                                <w:rPr>
                                  <w:rFonts w:hint="eastAsia" w:eastAsia="宋体"/>
                                  <w:sz w:val="24"/>
                                  <w:szCs w:val="24"/>
                                  <w:lang w:eastAsia="zh-CN"/>
                                </w:rPr>
                              </w:pPr>
                              <w:r>
                                <w:rPr>
                                  <w:rFonts w:hint="eastAsia"/>
                                  <w:sz w:val="24"/>
                                  <w:szCs w:val="24"/>
                                  <w:lang w:val="en-US" w:eastAsia="zh-CN"/>
                                </w:rPr>
                                <w:t>现场</w:t>
                              </w:r>
                              <w:r>
                                <w:rPr>
                                  <w:rFonts w:hint="eastAsia"/>
                                  <w:sz w:val="24"/>
                                  <w:szCs w:val="24"/>
                                  <w:lang w:eastAsia="zh-CN"/>
                                </w:rPr>
                                <w:t>处置组</w:t>
                              </w:r>
                            </w:p>
                          </w:txbxContent>
                        </wps:txbx>
                        <wps:bodyPr upright="1"/>
                      </wps:wsp>
                      <wps:wsp>
                        <wps:cNvPr id="70" name="肘形连接符 61"/>
                        <wps:cNvCnPr>
                          <a:stCxn id="65" idx="2"/>
                          <a:endCxn id="69" idx="0"/>
                        </wps:cNvCnPr>
                        <wps:spPr>
                          <a:xfrm rot="5400000">
                            <a:off x="7951" y="244907"/>
                            <a:ext cx="1329" cy="1980"/>
                          </a:xfrm>
                          <a:prstGeom prst="bentConnector3">
                            <a:avLst>
                              <a:gd name="adj1" fmla="val 50000"/>
                            </a:avLst>
                          </a:prstGeom>
                          <a:ln w="9525" cap="flat" cmpd="sng">
                            <a:solidFill>
                              <a:srgbClr val="000000"/>
                            </a:solidFill>
                            <a:prstDash val="solid"/>
                            <a:miter/>
                            <a:headEnd type="none" w="med" len="med"/>
                            <a:tailEnd type="arrow" w="med" len="med"/>
                          </a:ln>
                          <a:effectLst/>
                        </wps:spPr>
                        <wps:bodyPr/>
                      </wps:wsp>
                      <wps:wsp>
                        <wps:cNvPr id="71" name="肘形连接符 62"/>
                        <wps:cNvCnPr>
                          <a:stCxn id="65" idx="2"/>
                          <a:endCxn id="68" idx="0"/>
                        </wps:cNvCnPr>
                        <wps:spPr>
                          <a:xfrm rot="5400000" flipV="1">
                            <a:off x="9871" y="244967"/>
                            <a:ext cx="1329" cy="1860"/>
                          </a:xfrm>
                          <a:prstGeom prst="bentConnector3">
                            <a:avLst>
                              <a:gd name="adj1" fmla="val 50000"/>
                            </a:avLst>
                          </a:prstGeom>
                          <a:ln w="9525" cap="flat" cmpd="sng">
                            <a:solidFill>
                              <a:srgbClr val="000000"/>
                            </a:solidFill>
                            <a:prstDash val="solid"/>
                            <a:miter/>
                            <a:headEnd type="none" w="med" len="med"/>
                            <a:tailEnd type="arrow" w="med" len="med"/>
                          </a:ln>
                          <a:effectLst/>
                        </wps:spPr>
                        <wps:bodyPr/>
                      </wps:wsp>
                      <wps:wsp>
                        <wps:cNvPr id="72" name="直接连接符 63"/>
                        <wps:cNvCnPr/>
                        <wps:spPr>
                          <a:xfrm>
                            <a:off x="9596" y="245886"/>
                            <a:ext cx="10" cy="675"/>
                          </a:xfrm>
                          <a:prstGeom prst="line">
                            <a:avLst/>
                          </a:prstGeom>
                          <a:ln w="9525" cap="flat" cmpd="sng">
                            <a:solidFill>
                              <a:srgbClr val="000000"/>
                            </a:solidFill>
                            <a:prstDash val="solid"/>
                            <a:headEnd type="none" w="med" len="med"/>
                            <a:tailEnd type="arrow" w="med" len="med"/>
                          </a:ln>
                          <a:effectLst/>
                        </wps:spPr>
                        <wps:bodyPr upright="1"/>
                      </wps:wsp>
                    </wpg:wgp>
                  </a:graphicData>
                </a:graphic>
              </wp:anchor>
            </w:drawing>
          </mc:Choice>
          <mc:Fallback>
            <w:pict>
              <v:group id="_x0000_s1026" o:spid="_x0000_s1026" o:spt="203" style="position:absolute;left:0pt;margin-left:119.95pt;margin-top:82.1pt;height:187.9pt;width:220.45pt;mso-position-vertical-relative:page;mso-wrap-distance-bottom:0pt;mso-wrap-distance-top:0pt;z-index:251662336;mso-width-relative:page;mso-height-relative:page;" coordorigin="7345,244510" coordsize="4409,3758" o:gfxdata="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">
                <o:lock v:ext="edit" aspectratio="f"/>
                <v:rect id="矩形 55" o:spid="_x0000_s1026" o:spt="1" style="position:absolute;left:8728;top:244510;height:727;width:1763;"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D213D32">
                        <w:pPr>
                          <w:jc w:val="center"/>
                          <w:rPr>
                            <w:rFonts w:hint="eastAsia" w:eastAsia="宋体"/>
                            <w:sz w:val="28"/>
                            <w:szCs w:val="28"/>
                            <w:lang w:eastAsia="zh-CN"/>
                          </w:rPr>
                        </w:pPr>
                        <w:r>
                          <w:rPr>
                            <w:rFonts w:hint="eastAsia"/>
                            <w:sz w:val="28"/>
                            <w:szCs w:val="28"/>
                            <w:lang w:eastAsia="zh-CN"/>
                          </w:rPr>
                          <w:t>应急指挥部</w:t>
                        </w:r>
                      </w:p>
                    </w:txbxContent>
                  </v:textbox>
                </v:rect>
                <v:rect id="矩形 57" o:spid="_x0000_s1026" o:spt="1" style="position:absolute;left:9347;top:246566;height:1702;width:569;"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5973192">
                        <w:pPr>
                          <w:rPr>
                            <w:rFonts w:hint="eastAsia" w:eastAsia="宋体" w:cs="Times New Roman"/>
                            <w:sz w:val="24"/>
                            <w:szCs w:val="24"/>
                            <w:lang w:eastAsia="zh-CN"/>
                          </w:rPr>
                        </w:pPr>
                        <w:r>
                          <w:rPr>
                            <w:rFonts w:hint="eastAsia" w:eastAsia="宋体" w:cs="Times New Roman"/>
                            <w:sz w:val="24"/>
                            <w:szCs w:val="24"/>
                            <w:lang w:eastAsia="zh-CN"/>
                          </w:rPr>
                          <w:t>综合协调组</w:t>
                        </w:r>
                      </w:p>
                    </w:txbxContent>
                  </v:textbox>
                </v:rect>
                <v:rect id="矩形 58" o:spid="_x0000_s1026" o:spt="1" style="position:absolute;left:11185;top:246566;height:1702;width:569;"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14:paraId="49FD1676">
                        <w:pPr>
                          <w:rPr>
                            <w:rFonts w:hint="eastAsia" w:eastAsia="宋体"/>
                            <w:sz w:val="24"/>
                            <w:szCs w:val="24"/>
                            <w:lang w:eastAsia="zh-CN"/>
                          </w:rPr>
                        </w:pPr>
                        <w:r>
                          <w:rPr>
                            <w:rFonts w:hint="eastAsia"/>
                            <w:sz w:val="24"/>
                            <w:szCs w:val="24"/>
                            <w:lang w:eastAsia="zh-CN"/>
                          </w:rPr>
                          <w:t>警戒疏散组</w:t>
                        </w:r>
                      </w:p>
                      <w:p w14:paraId="5C647FD6">
                        <w:pPr>
                          <w:rPr>
                            <w:rFonts w:hint="eastAsia"/>
                            <w:lang w:eastAsia="zh-CN"/>
                          </w:rPr>
                        </w:pPr>
                      </w:p>
                    </w:txbxContent>
                  </v:textbox>
                </v:rect>
                <v:rect id="矩形 59" o:spid="_x0000_s1026" o:spt="1" style="position:absolute;left:7345;top:246566;height:1702;width:569;"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792D1AD">
                        <w:pPr>
                          <w:rPr>
                            <w:rFonts w:hint="eastAsia" w:eastAsia="宋体"/>
                            <w:sz w:val="24"/>
                            <w:szCs w:val="24"/>
                            <w:lang w:eastAsia="zh-CN"/>
                          </w:rPr>
                        </w:pPr>
                        <w:r>
                          <w:rPr>
                            <w:rFonts w:hint="eastAsia"/>
                            <w:sz w:val="24"/>
                            <w:szCs w:val="24"/>
                            <w:lang w:val="en-US" w:eastAsia="zh-CN"/>
                          </w:rPr>
                          <w:t>现场</w:t>
                        </w:r>
                        <w:r>
                          <w:rPr>
                            <w:rFonts w:hint="eastAsia"/>
                            <w:sz w:val="24"/>
                            <w:szCs w:val="24"/>
                            <w:lang w:eastAsia="zh-CN"/>
                          </w:rPr>
                          <w:t>处置组</w:t>
                        </w:r>
                      </w:p>
                    </w:txbxContent>
                  </v:textbox>
                </v:rect>
                <v:shape id="肘形连接符 61" o:spid="_x0000_s1026" o:spt="34" type="#_x0000_t34" style="position:absolute;left:7951;top:244907;height:1980;width:1329;rotation:5898240f;" filled="f" stroked="t" coordsize="21600,21600" o:gfxdata="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Cd60ugAAANsA&#10;AAAPAAAAAAAAAAEAIAAAACIAAABkcnMvZG93bnJldi54bWxQSwECFAAUAAAACACHTuJAMy8FnjsA&#10;AAA5AAAAEAAAAAAAAAABACAAAAAJAQAAZHJzL3NoYXBleG1sLnhtbFBLBQYAAAAABgAGAFsBAACz&#10;AwAAAAA=&#10;" adj="10800">
                  <v:fill on="f" focussize="0,0"/>
                  <v:stroke color="#000000" joinstyle="miter" endarrow="open"/>
                  <v:imagedata o:title=""/>
                  <o:lock v:ext="edit" aspectratio="f"/>
                </v:shape>
                <v:shape id="肘形连接符 62" o:spid="_x0000_s1026" o:spt="34" type="#_x0000_t34" style="position:absolute;left:9871;top:244967;flip:y;height:1860;width:1329;rotation:-5898240f;" filled="f" stroked="t" coordsize="21600,21600" o:gfxdata="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Ugr4A&#10;AADbAAAADwAAAAAAAAABACAAAAAiAAAAZHJzL2Rvd25yZXYueG1sUEsBAhQAFAAAAAgAh07iQDMv&#10;BZ47AAAAOQAAABAAAAAAAAAAAQAgAAAADQEAAGRycy9zaGFwZXhtbC54bWxQSwUGAAAAAAYABgBb&#10;AQAAtwMAAAAA&#10;" adj="10800">
                  <v:fill on="f" focussize="0,0"/>
                  <v:stroke color="#000000" joinstyle="miter" endarrow="open"/>
                  <v:imagedata o:title=""/>
                  <o:lock v:ext="edit" aspectratio="f"/>
                </v:shape>
                <v:line id="直接连接符 63" o:spid="_x0000_s1026" o:spt="20" style="position:absolute;left:9596;top:245886;height:675;width:10;" filled="f" stroked="t" coordsize="21600,21600" o:gfxdata="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4TS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w10:wrap type="topAndBottom"/>
              </v:group>
            </w:pict>
          </mc:Fallback>
        </mc:AlternateContent>
      </w:r>
      <w:r>
        <w:rPr>
          <w:rFonts w:hint="eastAsia" w:ascii="宋体" w:hAnsi="宋体" w:eastAsia="宋体" w:cs="宋体"/>
          <w:b/>
          <w:bCs/>
          <w:color w:val="auto"/>
          <w:sz w:val="24"/>
          <w:szCs w:val="24"/>
          <w:lang w:val="en-US" w:eastAsia="zh-CN"/>
        </w:rPr>
        <w:t>图3-2 应急工作体系图</w:t>
      </w:r>
    </w:p>
    <w:p w14:paraId="59062A69">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default"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3.2.2 应急指挥部职责</w:t>
      </w:r>
    </w:p>
    <w:p w14:paraId="430987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3.2.2.1 应急指挥部</w:t>
      </w:r>
    </w:p>
    <w:p w14:paraId="7D36601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1）宣布成立现场应急指挥部；</w:t>
      </w:r>
    </w:p>
    <w:p w14:paraId="63841B3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2）发生水源地突发环境事件时，亲自或委托副指挥长赶赴现场进行指挥；</w:t>
      </w:r>
    </w:p>
    <w:p w14:paraId="56680D7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3）组织开展现场应急处置；</w:t>
      </w:r>
    </w:p>
    <w:p w14:paraId="1EA1106D">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4）贯彻执行当地或上级人民政府及有关部门的应急指令；</w:t>
      </w:r>
    </w:p>
    <w:p w14:paraId="1DC6B09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5）研判突发环境事件发展态势，组织制定并批准现场处置方案；</w:t>
      </w:r>
    </w:p>
    <w:p w14:paraId="074DC1D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6）按照预警、应急启动或终止条件，决定预案的启动或终止；</w:t>
      </w:r>
    </w:p>
    <w:p w14:paraId="2AAFC5B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7）组织开展损害评估等后期工作。</w:t>
      </w:r>
    </w:p>
    <w:p w14:paraId="06BD322D">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8）接受上级领导部门交办任务。</w:t>
      </w:r>
    </w:p>
    <w:p w14:paraId="7FDC46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3.2.2.2 现场处置组</w:t>
      </w:r>
    </w:p>
    <w:p w14:paraId="28F570D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长：白鹤街道办事处副主任</w:t>
      </w:r>
    </w:p>
    <w:p w14:paraId="7D71FAA9">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员：白鹤街道园区服务中心副主任、白鹤街道园区服务中心工作人员</w:t>
      </w:r>
    </w:p>
    <w:p w14:paraId="67F2B97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1A30344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1）根据突发环境事件的性质、社会危害程度、可控性和影响范围，明确应对应急处置工作方案。</w:t>
      </w:r>
    </w:p>
    <w:p w14:paraId="25763F2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2）制定人员搜救方案，指导现场处置人员的安全防护和遇险人员自救，清点、寻找事件现场内涉险人员，并将其从危险区疏散撤离。</w:t>
      </w:r>
    </w:p>
    <w:p w14:paraId="1C0CA38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3）迅速组织切断污染源，分析污染途径，明确防止污染物扩散的路径；组织采取有效措施。对风险物质收集为主，开展围堵、疏导、收集的应急处置工作。</w:t>
      </w:r>
    </w:p>
    <w:p w14:paraId="1957776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4）消除或减轻已经造成的污染，明确不同情况下的现场处置人员须采取的个人防护措施。</w:t>
      </w:r>
    </w:p>
    <w:p w14:paraId="025F6F2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5）实施持续有序高效组织开展突发环境事件影响区域的应急处置工作。</w:t>
      </w:r>
    </w:p>
    <w:p w14:paraId="763DF55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6）完成应急指挥部交办的其他任务。</w:t>
      </w:r>
    </w:p>
    <w:p w14:paraId="72A4CE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3.2.2.3 综合协调组</w:t>
      </w:r>
    </w:p>
    <w:p w14:paraId="388347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长：白鹤街道党工委副书记</w:t>
      </w:r>
    </w:p>
    <w:p w14:paraId="332E07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员：白鹤街道基层指挥中心主任、白鹤街道经济发展办主任</w:t>
      </w:r>
    </w:p>
    <w:p w14:paraId="158409CA">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4F41B105">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1</w:t>
      </w:r>
      <w:r>
        <w:rPr>
          <w:rFonts w:hint="eastAsia" w:ascii="宋体" w:hAnsi="宋体" w:eastAsia="宋体" w:cs="宋体"/>
          <w:color w:val="auto"/>
          <w:sz w:val="28"/>
          <w:szCs w:val="28"/>
          <w:lang w:val="en-US" w:eastAsia="zh-CN"/>
        </w:rPr>
        <w:t>）负责事发现场相关信息的收集、汇总、处理，组织编制环境事件报告。</w:t>
      </w:r>
    </w:p>
    <w:p w14:paraId="4992BA3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highlight w:val="none"/>
          <w:lang w:val="en-US" w:eastAsia="zh-CN"/>
        </w:rPr>
      </w:pPr>
      <w:r>
        <w:rPr>
          <w:rFonts w:hint="default"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t>）及时向区政府和上级主管部门报送信息，</w:t>
      </w:r>
      <w:r>
        <w:rPr>
          <w:rFonts w:hint="eastAsia" w:ascii="宋体" w:hAnsi="宋体" w:eastAsia="宋体" w:cs="宋体"/>
          <w:color w:val="auto"/>
          <w:sz w:val="28"/>
          <w:szCs w:val="28"/>
          <w:highlight w:val="none"/>
          <w:lang w:val="en-US" w:eastAsia="zh-CN"/>
        </w:rPr>
        <w:t>协调区、街道的环境应急处置力量。</w:t>
      </w:r>
    </w:p>
    <w:p w14:paraId="16D7AC7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3</w:t>
      </w:r>
      <w:r>
        <w:rPr>
          <w:rFonts w:hint="eastAsia" w:ascii="宋体" w:hAnsi="宋体" w:eastAsia="宋体" w:cs="宋体"/>
          <w:color w:val="auto"/>
          <w:sz w:val="28"/>
          <w:szCs w:val="28"/>
          <w:lang w:val="en-US" w:eastAsia="zh-CN"/>
        </w:rPr>
        <w:t>）负责保持与各单位（部门）的信息联络工作</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负责制定应急供水保障方案；负责指导供水单位启动深度处 理设施或备用水源以及应急供水车等措施，保障居民用水；</w:t>
      </w:r>
    </w:p>
    <w:p w14:paraId="2FBDC2B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4</w:t>
      </w:r>
      <w:r>
        <w:rPr>
          <w:rFonts w:hint="eastAsia" w:ascii="宋体" w:hAnsi="宋体" w:eastAsia="宋体" w:cs="宋体"/>
          <w:color w:val="auto"/>
          <w:sz w:val="28"/>
          <w:szCs w:val="28"/>
          <w:lang w:val="en-US" w:eastAsia="zh-CN"/>
        </w:rPr>
        <w:t>）对预警、应急处置、事件调查、信息报送、信息通报、信息发布等工作进行统筹协调、指挥调度、督促落实。</w:t>
      </w:r>
    </w:p>
    <w:p w14:paraId="67CAE01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5</w:t>
      </w:r>
      <w:r>
        <w:rPr>
          <w:rFonts w:hint="eastAsia" w:ascii="宋体" w:hAnsi="宋体" w:eastAsia="宋体" w:cs="宋体"/>
          <w:color w:val="auto"/>
          <w:sz w:val="28"/>
          <w:szCs w:val="28"/>
          <w:lang w:val="en-US" w:eastAsia="zh-CN"/>
        </w:rPr>
        <w:t>）组织做好环境应急救援物资及临时安置重要物资的紧急储备调拨和紧急配送工作。</w:t>
      </w:r>
    </w:p>
    <w:p w14:paraId="399043F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6）及时组织调运生活必需品，保障事件区域附近群众基本生活和市场供应。</w:t>
      </w:r>
    </w:p>
    <w:p w14:paraId="046C8B6F">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7）组织开展应急工作的信息发布工作，加强新闻宣传。收集分析舆情和社会公众动态，及时澄清不实信息，回应社会关切。加强媒体、电信和互联网的管理，正确引导舆论。</w:t>
      </w:r>
    </w:p>
    <w:p w14:paraId="2679457B">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w:t>
      </w:r>
      <w:r>
        <w:rPr>
          <w:rFonts w:hint="default" w:ascii="宋体" w:hAnsi="宋体" w:eastAsia="宋体" w:cs="宋体"/>
          <w:color w:val="auto"/>
          <w:sz w:val="28"/>
          <w:szCs w:val="28"/>
          <w:lang w:val="en-US" w:eastAsia="zh-CN"/>
        </w:rPr>
        <w:t>）突发环境事件处置工作结束后，负责开展善后处置工作，包括人员安置、抚恤补偿、保险理赔、医疗补助、征用补偿、救援物资供应、环境污染消除、污染源监控和治理等措施</w:t>
      </w:r>
    </w:p>
    <w:p w14:paraId="045F892A">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9</w:t>
      </w:r>
      <w:r>
        <w:rPr>
          <w:rFonts w:hint="default" w:ascii="宋体" w:hAnsi="宋体" w:eastAsia="宋体" w:cs="宋体"/>
          <w:color w:val="auto"/>
          <w:sz w:val="28"/>
          <w:szCs w:val="28"/>
          <w:lang w:val="en-US" w:eastAsia="zh-CN"/>
        </w:rPr>
        <w:t>）防止事件造成次生、衍生危害，尽快恢复正常秩序，确保社会稳定。</w:t>
      </w:r>
    </w:p>
    <w:p w14:paraId="3A32745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10）完成应急指挥部交办的其他任务。</w:t>
      </w:r>
    </w:p>
    <w:p w14:paraId="0DBD9EE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3"/>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3.2.2.4 警戒疏散组</w:t>
      </w:r>
    </w:p>
    <w:p w14:paraId="214817B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组  长：白鹤街道办事处副主任</w:t>
      </w:r>
    </w:p>
    <w:p w14:paraId="1091E636">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  员：白鹤街道综合行政执法大队大队长、白鹤街道综合行政执法大队副队长</w:t>
      </w:r>
    </w:p>
    <w:p w14:paraId="42D62B1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主要职责：</w:t>
      </w:r>
    </w:p>
    <w:p w14:paraId="669D8FA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根据突发环境事件的污染物种类、性质以及当地气象、自然、社会环境状况等，配合区政府、区生态环境局或专家等明确相应的应急监测方案及监测方法，协调、配合监测单位开展应急监测，及时为突发环境事件应急决策提供依据。</w:t>
      </w:r>
    </w:p>
    <w:p w14:paraId="3D786DE0">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2）依据现场监测的情况，为事件区域设置警戒区域提供科学依据，并划定现场警戒和交通管制区域，确定重点防护区域。</w:t>
      </w:r>
    </w:p>
    <w:p w14:paraId="5F6CAAF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3）确定受威胁人员疏散的方式和途径，疏散转移受威胁人员至紧急避险场所。</w:t>
      </w:r>
    </w:p>
    <w:p w14:paraId="2DB7DB6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4）及时组织开展伤病员医疗救治、应急心理援助，将人员伤害降低到最小，协助开展受污染人员的卫生防疫工作。</w:t>
      </w:r>
    </w:p>
    <w:p w14:paraId="00B4B14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5）负责事件现场警戒，及时对无关人员疏散，疏通消防通道，确保消防、医疗救护车辆能抵达事件现场。</w:t>
      </w:r>
    </w:p>
    <w:p w14:paraId="143CBAD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6）维护事件现场治安秩序，确保事件应急救援工作顺利开展。</w:t>
      </w:r>
    </w:p>
    <w:p w14:paraId="55AD6E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7）完成应急指挥部交办的其他任务。</w:t>
      </w:r>
    </w:p>
    <w:p w14:paraId="38F45D4A">
      <w:pPr>
        <w:rPr>
          <w:rStyle w:val="19"/>
          <w:rFonts w:hint="eastAsia" w:ascii="宋体" w:hAnsi="宋体" w:eastAsia="宋体" w:cs="宋体"/>
          <w:b/>
          <w:bCs/>
          <w:color w:val="000000"/>
          <w:sz w:val="32"/>
          <w:szCs w:val="32"/>
          <w:lang w:val="en-US" w:eastAsia="zh-CN"/>
        </w:rPr>
      </w:pPr>
      <w:bookmarkStart w:id="41" w:name="_Toc18923"/>
      <w:bookmarkStart w:id="42" w:name="_Toc386313017"/>
      <w:bookmarkStart w:id="43" w:name="_Toc403343074"/>
      <w:r>
        <w:rPr>
          <w:rStyle w:val="19"/>
          <w:rFonts w:hint="eastAsia" w:ascii="宋体" w:hAnsi="宋体" w:eastAsia="宋体" w:cs="宋体"/>
          <w:b/>
          <w:bCs/>
          <w:color w:val="000000"/>
          <w:sz w:val="32"/>
          <w:szCs w:val="32"/>
          <w:lang w:val="en-US" w:eastAsia="zh-CN"/>
        </w:rPr>
        <w:br w:type="page"/>
      </w:r>
    </w:p>
    <w:p w14:paraId="3F1EC79F">
      <w:pPr>
        <w:pStyle w:val="15"/>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9"/>
          <w:rFonts w:hint="default" w:ascii="宋体" w:hAnsi="宋体" w:eastAsia="宋体" w:cs="宋体"/>
          <w:b/>
          <w:bCs/>
          <w:color w:val="000000"/>
          <w:sz w:val="32"/>
          <w:szCs w:val="32"/>
          <w:lang w:val="en-US" w:eastAsia="zh-CN"/>
        </w:rPr>
      </w:pPr>
      <w:bookmarkStart w:id="44" w:name="_Toc13839"/>
      <w:r>
        <w:rPr>
          <w:rStyle w:val="19"/>
          <w:rFonts w:hint="eastAsia" w:ascii="宋体" w:hAnsi="宋体" w:eastAsia="宋体" w:cs="宋体"/>
          <w:b/>
          <w:bCs/>
          <w:color w:val="000000"/>
          <w:sz w:val="32"/>
          <w:szCs w:val="32"/>
          <w:lang w:val="en-US" w:eastAsia="zh-CN"/>
        </w:rPr>
        <w:t>4</w:t>
      </w:r>
      <w:r>
        <w:rPr>
          <w:rStyle w:val="19"/>
          <w:rFonts w:hint="eastAsia" w:ascii="宋体" w:hAnsi="宋体" w:cs="宋体"/>
          <w:b/>
          <w:bCs/>
          <w:color w:val="000000"/>
          <w:sz w:val="32"/>
          <w:szCs w:val="32"/>
          <w:lang w:val="en-US" w:eastAsia="zh-CN"/>
        </w:rPr>
        <w:t xml:space="preserve"> </w:t>
      </w:r>
      <w:bookmarkEnd w:id="41"/>
      <w:bookmarkEnd w:id="42"/>
      <w:bookmarkEnd w:id="43"/>
      <w:r>
        <w:rPr>
          <w:rStyle w:val="19"/>
          <w:rFonts w:hint="eastAsia" w:cs="宋体"/>
          <w:b/>
          <w:bCs/>
          <w:color w:val="000000"/>
          <w:sz w:val="32"/>
          <w:szCs w:val="32"/>
          <w:lang w:val="en-US" w:eastAsia="zh-CN"/>
        </w:rPr>
        <w:t>应急响应</w:t>
      </w:r>
      <w:bookmarkEnd w:id="44"/>
    </w:p>
    <w:p w14:paraId="66C6517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rPr>
          <w:rFonts w:hint="default" w:ascii="宋体" w:hAnsi="宋体" w:eastAsia="宋体" w:cs="宋体"/>
          <w:color w:val="auto"/>
          <w:sz w:val="28"/>
          <w:szCs w:val="28"/>
          <w:lang w:val="en-US" w:eastAsia="zh-CN"/>
        </w:rPr>
      </w:pPr>
      <w:r>
        <w:rPr>
          <w:rFonts w:hint="eastAsia" w:cs="宋体"/>
          <w:color w:val="auto"/>
          <w:sz w:val="28"/>
          <w:szCs w:val="28"/>
          <w:lang w:val="en-US" w:eastAsia="zh-CN"/>
        </w:rPr>
        <w:t>重庆市开州区白鹤街道饮用水水源地</w:t>
      </w:r>
      <w:r>
        <w:rPr>
          <w:rFonts w:hint="eastAsia" w:ascii="宋体" w:hAnsi="宋体" w:eastAsia="宋体" w:cs="宋体"/>
          <w:color w:val="auto"/>
          <w:sz w:val="28"/>
          <w:szCs w:val="28"/>
          <w:lang w:val="en-US" w:eastAsia="zh-CN"/>
        </w:rPr>
        <w:t>突发环境事件应急响应程序包括信息收集和研判、预警、信息报告与通报、事态研判、应急监测、污染源排查与处置、应急处置、物资调集及应急设施启用、舆情监测与信息发布、响应终止等工作内容。主要应急响应流程图见图4.1-1。</w:t>
      </w:r>
    </w:p>
    <w:p w14:paraId="6CB71F84">
      <w:pPr>
        <w:pStyle w:val="21"/>
        <w:rPr>
          <w:rFonts w:hint="eastAsia"/>
          <w:lang w:val="en-US" w:eastAsia="zh-CN"/>
        </w:rPr>
      </w:pPr>
      <w:r>
        <w:rPr>
          <w:rFonts w:hint="default" w:ascii="Times New Roman" w:hAnsi="Times New Roman" w:eastAsia="宋体" w:cs="Times New Roman"/>
          <w:color w:val="000000"/>
          <w:kern w:val="2"/>
          <w:sz w:val="21"/>
          <w:szCs w:val="24"/>
          <w:lang w:val="en-US" w:eastAsia="zh-CN" w:bidi="ar-SA"/>
        </w:rPr>
        <w:drawing>
          <wp:anchor distT="0" distB="0" distL="114300" distR="114300" simplePos="0" relativeHeight="251660288" behindDoc="0" locked="0" layoutInCell="1" allowOverlap="1">
            <wp:simplePos x="0" y="0"/>
            <wp:positionH relativeFrom="column">
              <wp:posOffset>-20320</wp:posOffset>
            </wp:positionH>
            <wp:positionV relativeFrom="paragraph">
              <wp:posOffset>0</wp:posOffset>
            </wp:positionV>
            <wp:extent cx="5788660" cy="6143625"/>
            <wp:effectExtent l="0" t="0" r="2540" b="952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5788660" cy="6143625"/>
                    </a:xfrm>
                    <a:prstGeom prst="rect">
                      <a:avLst/>
                    </a:prstGeom>
                    <a:noFill/>
                    <a:ln>
                      <a:noFill/>
                    </a:ln>
                  </pic:spPr>
                </pic:pic>
              </a:graphicData>
            </a:graphic>
          </wp:anchor>
        </w:drawing>
      </w:r>
    </w:p>
    <w:p w14:paraId="4785AFD3">
      <w:pPr>
        <w:pStyle w:val="22"/>
        <w:spacing w:line="520" w:lineRule="exact"/>
        <w:ind w:firstLine="0" w:firstLineChars="0"/>
        <w:jc w:val="center"/>
        <w:rPr>
          <w:rFonts w:hint="eastAsia" w:ascii="宋体" w:hAnsi="宋体" w:cs="Times New Roman"/>
          <w:b/>
          <w:bCs/>
          <w:sz w:val="24"/>
          <w:lang w:val="en-US" w:eastAsia="zh-CN"/>
        </w:rPr>
      </w:pPr>
      <w:r>
        <w:rPr>
          <w:rFonts w:hint="eastAsia" w:ascii="宋体" w:hAnsi="宋体" w:cs="Times New Roman"/>
          <w:b/>
          <w:bCs/>
          <w:sz w:val="24"/>
          <w:lang w:val="en-US" w:eastAsia="zh-CN"/>
        </w:rPr>
        <w:t>图4.1-1 应急响应流程图</w:t>
      </w:r>
    </w:p>
    <w:p w14:paraId="63571ECC">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45" w:name="_Toc186123037"/>
      <w:bookmarkStart w:id="46" w:name="_Toc186124190"/>
      <w:bookmarkStart w:id="47" w:name="_Toc30252"/>
      <w:bookmarkStart w:id="48" w:name="_Toc186122732"/>
      <w:bookmarkStart w:id="49" w:name="_Toc186125025"/>
      <w:bookmarkStart w:id="50" w:name="_Toc4623"/>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.1</w:t>
      </w:r>
      <w:r>
        <w:rPr>
          <w:rFonts w:hint="eastAsia" w:ascii="宋体" w:hAnsi="宋体" w:cs="宋体"/>
          <w:b/>
          <w:bCs/>
          <w:color w:val="000000"/>
          <w:sz w:val="28"/>
          <w:szCs w:val="28"/>
          <w:lang w:val="en-US" w:eastAsia="zh-CN"/>
        </w:rPr>
        <w:t xml:space="preserve"> </w:t>
      </w:r>
      <w:r>
        <w:rPr>
          <w:rFonts w:hint="eastAsia" w:ascii="宋体" w:hAnsi="宋体" w:eastAsia="宋体" w:cs="宋体"/>
          <w:b/>
          <w:bCs/>
          <w:color w:val="000000"/>
          <w:sz w:val="28"/>
          <w:szCs w:val="28"/>
          <w:lang w:val="en-US" w:eastAsia="zh-CN"/>
        </w:rPr>
        <w:t>信息收集与研判</w:t>
      </w:r>
      <w:bookmarkEnd w:id="45"/>
      <w:bookmarkEnd w:id="46"/>
      <w:bookmarkEnd w:id="47"/>
      <w:bookmarkEnd w:id="48"/>
      <w:bookmarkEnd w:id="49"/>
      <w:bookmarkEnd w:id="50"/>
    </w:p>
    <w:p w14:paraId="6CD7E095">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.1.1 信息收集</w:t>
      </w:r>
    </w:p>
    <w:p w14:paraId="1360E5C0">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信息来源包括但不限于以下途径：通过流域、水源地或供水单位开展的水质监督性监测（常规断面）、在线监测（常规和预警监控断面）等日常监管渠道获取水质异常信息，也可以通过水文气象、地质灾害、污染源排放等信息开展水质预测预警，获取水质异常信息；通过水源地上游及周边主要风险源监控获取异常排放信息、相关部门报告、群众举报获取事故信息；通过各部门之间以及饮用水水源地上下游相邻</w:t>
      </w:r>
      <w:r>
        <w:rPr>
          <w:rFonts w:hint="eastAsia" w:ascii="宋体" w:hAnsi="宋体" w:cs="宋体"/>
          <w:color w:val="auto"/>
          <w:sz w:val="28"/>
          <w:szCs w:val="28"/>
          <w:lang w:val="en-US" w:eastAsia="zh-CN"/>
        </w:rPr>
        <w:t>镇</w:t>
      </w:r>
      <w:r>
        <w:rPr>
          <w:rFonts w:hint="eastAsia" w:ascii="宋体" w:hAnsi="宋体" w:eastAsia="宋体" w:cs="宋体"/>
          <w:color w:val="auto"/>
          <w:sz w:val="28"/>
          <w:szCs w:val="28"/>
          <w:lang w:val="en-US" w:eastAsia="zh-CN"/>
        </w:rPr>
        <w:t>人民政府</w:t>
      </w:r>
      <w:r>
        <w:rPr>
          <w:rFonts w:hint="eastAsia" w:ascii="宋体" w:hAnsi="宋体" w:cs="宋体"/>
          <w:color w:val="auto"/>
          <w:sz w:val="28"/>
          <w:szCs w:val="28"/>
          <w:lang w:val="en-US" w:eastAsia="zh-CN"/>
        </w:rPr>
        <w:t>（街道办事处）</w:t>
      </w:r>
      <w:r>
        <w:rPr>
          <w:rFonts w:hint="eastAsia" w:ascii="宋体" w:hAnsi="宋体" w:eastAsia="宋体" w:cs="宋体"/>
          <w:color w:val="auto"/>
          <w:sz w:val="28"/>
          <w:szCs w:val="28"/>
          <w:lang w:val="en-US" w:eastAsia="zh-CN"/>
        </w:rPr>
        <w:t>之间建立的信息收集与共享渠道，获取突发环境事件信息。</w:t>
      </w:r>
    </w:p>
    <w:p w14:paraId="3261D8FF">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.1.2 信息研判与会商</w:t>
      </w:r>
    </w:p>
    <w:p w14:paraId="4E4DE2A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51" w:name="_Toc186123038"/>
      <w:bookmarkStart w:id="52" w:name="_Toc186125026"/>
      <w:bookmarkStart w:id="53" w:name="_Toc186122733"/>
      <w:bookmarkStart w:id="54" w:name="_Toc186124191"/>
      <w:r>
        <w:rPr>
          <w:rFonts w:hint="eastAsia" w:ascii="宋体" w:hAnsi="宋体" w:eastAsia="宋体" w:cs="宋体"/>
          <w:color w:val="auto"/>
          <w:sz w:val="28"/>
          <w:szCs w:val="28"/>
          <w:lang w:val="en-US" w:eastAsia="zh-CN"/>
        </w:rPr>
        <w:t>通过群众举报、责任单位报告、相邻</w:t>
      </w:r>
      <w:r>
        <w:rPr>
          <w:rFonts w:hint="eastAsia" w:ascii="宋体" w:hAnsi="宋体" w:cs="宋体"/>
          <w:color w:val="auto"/>
          <w:sz w:val="28"/>
          <w:szCs w:val="28"/>
          <w:lang w:val="en-US" w:eastAsia="zh-CN"/>
        </w:rPr>
        <w:t>镇</w:t>
      </w:r>
      <w:r>
        <w:rPr>
          <w:rFonts w:hint="eastAsia" w:ascii="宋体" w:hAnsi="宋体" w:eastAsia="宋体" w:cs="宋体"/>
          <w:color w:val="auto"/>
          <w:sz w:val="28"/>
          <w:szCs w:val="28"/>
          <w:lang w:val="en-US" w:eastAsia="zh-CN"/>
        </w:rPr>
        <w:t>人民政府</w:t>
      </w:r>
      <w:r>
        <w:rPr>
          <w:rFonts w:hint="eastAsia" w:ascii="宋体" w:hAnsi="宋体" w:cs="宋体"/>
          <w:color w:val="auto"/>
          <w:sz w:val="28"/>
          <w:szCs w:val="28"/>
          <w:lang w:val="en-US" w:eastAsia="zh-CN"/>
        </w:rPr>
        <w:t>（街道办事处）</w:t>
      </w:r>
      <w:r>
        <w:rPr>
          <w:rFonts w:hint="eastAsia" w:ascii="宋体" w:hAnsi="宋体" w:eastAsia="宋体" w:cs="宋体"/>
          <w:color w:val="auto"/>
          <w:sz w:val="28"/>
          <w:szCs w:val="28"/>
          <w:lang w:val="en-US" w:eastAsia="zh-CN"/>
        </w:rPr>
        <w:t>通报等渠道获取突发事件信息后，第一时间开展信息研判和会商，第一时间核实信息真实性，必要时会同相关部门共同开展应急监测或补充调查，核实信息的准确性，收集更全面、更权威的资料信息。</w:t>
      </w:r>
      <w:bookmarkEnd w:id="51"/>
      <w:bookmarkEnd w:id="52"/>
      <w:bookmarkEnd w:id="53"/>
      <w:bookmarkEnd w:id="54"/>
    </w:p>
    <w:p w14:paraId="3224743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55" w:name="_Toc186125027"/>
      <w:bookmarkStart w:id="56" w:name="_Toc186123039"/>
      <w:bookmarkStart w:id="57" w:name="_Toc186122734"/>
      <w:bookmarkStart w:id="58" w:name="_Toc186124192"/>
      <w:r>
        <w:rPr>
          <w:rFonts w:hint="eastAsia" w:ascii="宋体" w:hAnsi="宋体" w:eastAsia="宋体" w:cs="宋体"/>
          <w:color w:val="auto"/>
          <w:sz w:val="28"/>
          <w:szCs w:val="28"/>
          <w:lang w:val="en-US" w:eastAsia="zh-CN"/>
        </w:rPr>
        <w:t>初步研判发生重大、特别重大突发环境事件，由市政府牵头应对，区政府配合。初步研判发生一般、较大突发环境事件，由区政府负责应对。</w:t>
      </w:r>
      <w:bookmarkEnd w:id="55"/>
      <w:bookmarkEnd w:id="56"/>
      <w:bookmarkEnd w:id="57"/>
      <w:bookmarkEnd w:id="58"/>
    </w:p>
    <w:p w14:paraId="2BBEFB29">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59" w:name="_Toc26651"/>
      <w:r>
        <w:rPr>
          <w:rFonts w:hint="eastAsia" w:ascii="宋体" w:hAnsi="宋体" w:eastAsia="宋体" w:cs="宋体"/>
          <w:b/>
          <w:bCs/>
          <w:color w:val="000000"/>
          <w:sz w:val="28"/>
          <w:szCs w:val="28"/>
          <w:lang w:val="en-US" w:eastAsia="zh-CN"/>
        </w:rPr>
        <w:t>4.</w:t>
      </w:r>
      <w:r>
        <w:rPr>
          <w:rFonts w:hint="eastAsia" w:ascii="宋体" w:hAnsi="宋体" w:cs="宋体"/>
          <w:b/>
          <w:bCs/>
          <w:color w:val="000000"/>
          <w:sz w:val="28"/>
          <w:szCs w:val="28"/>
          <w:lang w:val="en-US" w:eastAsia="zh-CN"/>
        </w:rPr>
        <w:t>2</w:t>
      </w:r>
      <w:r>
        <w:rPr>
          <w:rFonts w:hint="eastAsia" w:ascii="宋体" w:hAnsi="宋体" w:eastAsia="宋体" w:cs="宋体"/>
          <w:b/>
          <w:bCs/>
          <w:color w:val="000000"/>
          <w:sz w:val="28"/>
          <w:szCs w:val="28"/>
          <w:lang w:val="en-US" w:eastAsia="zh-CN"/>
        </w:rPr>
        <w:t xml:space="preserve"> </w:t>
      </w:r>
      <w:bookmarkStart w:id="60" w:name="_Toc186124976"/>
      <w:bookmarkStart w:id="61" w:name="_Toc186122991"/>
      <w:bookmarkStart w:id="62" w:name="_Toc186124151"/>
      <w:r>
        <w:rPr>
          <w:rFonts w:hint="eastAsia" w:ascii="宋体" w:hAnsi="宋体" w:eastAsia="宋体" w:cs="宋体"/>
          <w:b/>
          <w:bCs/>
          <w:color w:val="000000"/>
          <w:sz w:val="28"/>
          <w:szCs w:val="28"/>
          <w:lang w:val="en-US" w:eastAsia="zh-CN"/>
        </w:rPr>
        <w:t>预警</w:t>
      </w:r>
      <w:bookmarkEnd w:id="59"/>
      <w:bookmarkEnd w:id="60"/>
      <w:bookmarkEnd w:id="61"/>
      <w:bookmarkEnd w:id="62"/>
    </w:p>
    <w:p w14:paraId="52EC1ABD">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预警分级</w:t>
      </w:r>
    </w:p>
    <w:p w14:paraId="36089B5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按照开州区的要求</w:t>
      </w:r>
      <w:r>
        <w:rPr>
          <w:rFonts w:hint="eastAsia" w:ascii="宋体" w:hAnsi="宋体" w:eastAsia="宋体" w:cs="宋体"/>
          <w:color w:val="auto"/>
          <w:sz w:val="28"/>
          <w:szCs w:val="28"/>
          <w:lang w:val="en-US" w:eastAsia="zh-CN"/>
        </w:rPr>
        <w:t>，水源地突发环境事件的预警级别由低到高分为橙色和红色两级。</w:t>
      </w:r>
    </w:p>
    <w:p w14:paraId="1E68C98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橙色预警：当污染物迁移至水源地应急预案适用范围，但水源地保护区或其上游连接水体尚未受到污染，</w:t>
      </w:r>
      <w:r>
        <w:rPr>
          <w:rFonts w:hint="eastAsia" w:cs="宋体"/>
          <w:color w:val="auto"/>
          <w:sz w:val="28"/>
          <w:szCs w:val="28"/>
          <w:lang w:val="en-US" w:eastAsia="zh-CN"/>
        </w:rPr>
        <w:t>或</w:t>
      </w:r>
      <w:r>
        <w:rPr>
          <w:rFonts w:hint="eastAsia" w:ascii="宋体" w:hAnsi="宋体" w:eastAsia="宋体" w:cs="宋体"/>
          <w:color w:val="auto"/>
          <w:sz w:val="28"/>
          <w:szCs w:val="28"/>
          <w:lang w:val="en-US" w:eastAsia="zh-CN"/>
        </w:rPr>
        <w:t>污染物已进入水源保护区上游连接水体，研判认为对水源地水质影响可能较小、可能不影响取水时，为橙色预警。</w:t>
      </w:r>
    </w:p>
    <w:p w14:paraId="3ADA15D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红色预警：当污染物已进入（或出现在）水源地保护区或其上游连接水体，研判认为对水源地水质影响可能较大时、可能影响取水时，为红色预警。</w:t>
      </w:r>
    </w:p>
    <w:p w14:paraId="01499E92">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上述分级标准中，生态环境部、市生态环境局、区生态环境局及有关部门有规定的，从其规定。对特殊的突发环境事件，可能演化为重大、特别重大事故的，不受分级标准限制。</w:t>
      </w:r>
    </w:p>
    <w:p w14:paraId="437AAB2D">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4.2.2 预警的启动条件</w:t>
      </w:r>
    </w:p>
    <w:p w14:paraId="0EAE8667">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2.1</w:t>
      </w:r>
      <w:r>
        <w:rPr>
          <w:rFonts w:hint="eastAsia" w:ascii="宋体" w:hAnsi="宋体" w:eastAsia="宋体" w:cs="宋体"/>
          <w:color w:val="auto"/>
          <w:sz w:val="28"/>
          <w:szCs w:val="28"/>
          <w:lang w:val="en-US" w:eastAsia="zh-CN"/>
        </w:rPr>
        <w:t xml:space="preserve"> 橙色预警启动条件</w:t>
      </w:r>
    </w:p>
    <w:p w14:paraId="7A3D99F7">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ascii="Times New Roman" w:hAnsi="Times New Roman" w:eastAsia="方正仿宋_GBK"/>
          <w:kern w:val="0"/>
          <w:sz w:val="32"/>
          <w:szCs w:val="32"/>
        </w:rPr>
      </w:pPr>
      <w:r>
        <w:rPr>
          <w:rFonts w:hint="eastAsia" w:ascii="宋体" w:hAnsi="宋体" w:eastAsia="宋体" w:cs="宋体"/>
          <w:color w:val="auto"/>
          <w:sz w:val="28"/>
          <w:szCs w:val="28"/>
          <w:lang w:val="en-US" w:eastAsia="zh-CN"/>
        </w:rPr>
        <w:t>接到上级指令或信息通报后，虽污染物未迁移至水源地应急预案适用范围，但污染物已进入水源保护区上游连接水体，经研判认为对水源地水质可能造成污染，不影响取水；通过信息报告发现，污染物已扩散至距水源保护区上游连接水体的直线距离不足1千米的陆域或水域；污染物已进入水源保护区上游连接水体，经研判认为对水源地水质影响可能较小、可能不影响取水。</w:t>
      </w:r>
    </w:p>
    <w:p w14:paraId="17CC76E3">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lang w:val="en-US" w:eastAsia="zh-CN"/>
        </w:rPr>
        <w:t>.2 红色预警启动条件</w:t>
      </w:r>
    </w:p>
    <w:p w14:paraId="47B2205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接到上级指令或信息通报后，</w:t>
      </w:r>
      <w:r>
        <w:rPr>
          <w:rFonts w:hint="eastAsia" w:cs="宋体"/>
          <w:color w:val="auto"/>
          <w:sz w:val="28"/>
          <w:szCs w:val="28"/>
          <w:lang w:val="en-US" w:eastAsia="zh-CN"/>
        </w:rPr>
        <w:t>虽然</w:t>
      </w:r>
      <w:r>
        <w:rPr>
          <w:rFonts w:hint="eastAsia" w:ascii="宋体" w:hAnsi="宋体" w:eastAsia="宋体" w:cs="宋体"/>
          <w:color w:val="auto"/>
          <w:sz w:val="28"/>
          <w:szCs w:val="28"/>
          <w:lang w:val="en-US" w:eastAsia="zh-CN"/>
        </w:rPr>
        <w:t>污染物未迁移至水源地应急预案适用的地域范围内，但污染物已进入水源保护区上游连接水体，研判认为对饮用水水源地水质有影响，可能影响取水；通过信息报告发现，在水源地一级、二级保护区内发生突发环境事件；通过信息报告发现，在二级保护区上游汇水区域4小时流程范围内发生固定源或流动源突发环境事件，或污染物已扩散至距水源保护区上游连接水体的直线距离不足100米的陆域或水域；通过信息报告发现，在二级保护区上游汇水区域8小时流程范围内发生固定源或流动源突发环境事件，或污染物已扩散至距水源保护区上游连接水体的直线距离不足200米的陆域或水域，经水质监测和信息研判，判断污染物迁移至取水口位置时，相应指标浓度仍会超标的；通过监测发现，水源保护区或其上游连接水体理化指标异常〔主要包括：在二级保护区内，出现自动站水质监测指标超标或生物综合毒性异常，经实验室监（复）测确认的；在二级保护区上游8小时流程范围内，出现水质监测指标、有毒有害物质或生物综合毒性异常，且污染物浓度持续升高的；在二级保护区上游4小时流程范围内，出现水质监测指标、有毒有害物质或生物综合毒性异常的〕；通过监测发现，水源保护区或其上游连接水体感官性状异常，即水体出现异常颜色或气味的；通过监测发现，水源保护区或其上游连接水体生态指标异常，即水面出现大面积死鱼或生物综合毒性异常并经实验室监测后确认的。</w:t>
      </w:r>
    </w:p>
    <w:p w14:paraId="187EC6BD">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4.2.3 发布预警和预警级别调整</w:t>
      </w:r>
    </w:p>
    <w:p w14:paraId="07B87E04">
      <w:pPr>
        <w:pStyle w:val="5"/>
        <w:keepNext/>
        <w:keepLines/>
        <w:pageBreakBefore w:val="0"/>
        <w:widowControl w:val="0"/>
        <w:kinsoku/>
        <w:wordWrap/>
        <w:overflowPunct/>
        <w:topLinePunct w:val="0"/>
        <w:autoSpaceDE/>
        <w:autoSpaceDN/>
        <w:bidi w:val="0"/>
        <w:adjustRightInd/>
        <w:snapToGrid/>
        <w:spacing w:before="0" w:after="0" w:line="360" w:lineRule="auto"/>
        <w:ind w:firstLine="560" w:firstLineChars="200"/>
        <w:jc w:val="left"/>
        <w:textAlignment w:val="auto"/>
        <w:rPr>
          <w:rFonts w:hint="eastAsia" w:asciiTheme="minorEastAsia" w:hAnsiTheme="minorEastAsia" w:eastAsiaTheme="minorEastAsia" w:cstheme="minorEastAsia"/>
          <w:b w:val="0"/>
          <w:bCs w:val="0"/>
          <w:sz w:val="28"/>
          <w:szCs w:val="28"/>
          <w:lang w:eastAsia="zh-CN"/>
        </w:rPr>
      </w:pPr>
      <w:r>
        <w:rPr>
          <w:rFonts w:hint="eastAsia" w:asciiTheme="minorEastAsia" w:hAnsiTheme="minorEastAsia" w:eastAsiaTheme="minorEastAsia" w:cstheme="minorEastAsia"/>
          <w:b w:val="0"/>
          <w:bCs w:val="0"/>
          <w:sz w:val="28"/>
          <w:szCs w:val="28"/>
          <w:lang w:val="en-US" w:eastAsia="zh-CN"/>
        </w:rPr>
        <w:t>4</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lang w:val="en-US" w:eastAsia="zh-CN"/>
        </w:rPr>
        <w:t>2</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lang w:val="en-US" w:eastAsia="zh-CN"/>
        </w:rPr>
        <w:t>3.1</w:t>
      </w:r>
      <w:r>
        <w:rPr>
          <w:rFonts w:hint="eastAsia" w:asciiTheme="minorEastAsia" w:hAnsiTheme="minorEastAsia" w:eastAsiaTheme="minorEastAsia" w:cstheme="minorEastAsia"/>
          <w:b w:val="0"/>
          <w:bCs w:val="0"/>
          <w:sz w:val="28"/>
          <w:szCs w:val="28"/>
          <w:lang w:eastAsia="zh-CN"/>
        </w:rPr>
        <w:t xml:space="preserve"> 预警发布</w:t>
      </w:r>
    </w:p>
    <w:p w14:paraId="7E4D015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橙色预警和红色预警由区政府及其指定部门发布或上级人民政府及其指定部门发布。</w:t>
      </w:r>
    </w:p>
    <w:p w14:paraId="095BA20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预警发布内容应包括但不限于以下内容：类别、预警级别；事件起止时间、可能影响的范围；应采取的措施和发布机关。</w:t>
      </w:r>
    </w:p>
    <w:p w14:paraId="7FA3C7B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预警对象：根据不同的突发水环境事件类型，对组织实施预警行动和应急处置行动的部门和单位发布预警。</w:t>
      </w:r>
    </w:p>
    <w:p w14:paraId="3194EC09">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4.2.3.2 预警调整</w:t>
      </w:r>
    </w:p>
    <w:p w14:paraId="119AEEE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预警信息发布单位应当根据事态的发展情况和采取措施的效果，按照有关规定适时调整预警级别。证明不可能发生突发环境事件或危险已经解除的，预警信息发布单位应当及时宣布解除预警，并停止采取有关措施。</w:t>
      </w:r>
    </w:p>
    <w:p w14:paraId="06FFFDFC">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 xml:space="preserve"> 预警行动</w:t>
      </w:r>
    </w:p>
    <w:p w14:paraId="041F873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布橙色预警时，预警行动包含但不限于以下内容：通报相关部门或单位及涉事企业突发环境事件信息，指导启动本部门或单位应急预案；各有关部门或单位按照各自职责开展应急监测或做好应急监测准备；启动备用水源调度准备，调集应急处置所需物资装备，做好应急处置的保障工作；按照职责，各有关部门或单位进入待命状态，必要时到达现场开展相关工作；及时准确发布事态最新情况，加强相关舆情监测，做好舆论引导工作等。</w:t>
      </w:r>
    </w:p>
    <w:p w14:paraId="12FF0F1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布红色预警时，预警行动包含但不限于以下内容：下达启动饮用水水源地应急预案的命令；通知有关单位和人员做好应急准备，进入待命状态，必要时到达现场开展相关工作；通知饮用水水源地供水单位进入待命状态，做好停止取水、深度处理、低压供水或启动备用水源等准备；加强信息监控，核实突发环境事件污染来源、进入水体的污染物种类和总量、污染扩散范围等信息；开展应急监测或做好应急监测准备；做好事件信息上报和通报；调集所需应急物资和设备，做好应急保障；在危险区域设置提示或警告标志；必要时，及时通过媒体向公众发布信息；加强舆情监测、引导和应对工作等。</w:t>
      </w:r>
    </w:p>
    <w:p w14:paraId="37E2DCE0">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.2.5</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预警解除</w:t>
      </w:r>
    </w:p>
    <w:p w14:paraId="2F1D19E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bookmarkStart w:id="63" w:name="_Toc186125029"/>
      <w:bookmarkStart w:id="64" w:name="_Toc186122736"/>
      <w:bookmarkStart w:id="65" w:name="_Toc186124194"/>
      <w:bookmarkStart w:id="66" w:name="_Toc186123041"/>
      <w:r>
        <w:rPr>
          <w:rFonts w:hint="eastAsia" w:ascii="宋体" w:hAnsi="宋体" w:eastAsia="宋体" w:cs="宋体"/>
          <w:color w:val="auto"/>
          <w:sz w:val="28"/>
          <w:szCs w:val="28"/>
          <w:lang w:val="en-US" w:eastAsia="zh-CN"/>
        </w:rPr>
        <w:t>当引起预警的条件消除和各类隐患排除后，饮用水水源地水质及供水不会受到影响时，由发布预警的单位下达预警解除指令，终止已经采取的有关行动和措施。</w:t>
      </w:r>
      <w:bookmarkEnd w:id="63"/>
      <w:bookmarkEnd w:id="64"/>
      <w:bookmarkEnd w:id="65"/>
      <w:bookmarkEnd w:id="66"/>
    </w:p>
    <w:p w14:paraId="7DE44AF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67" w:name="_Toc186124977"/>
      <w:bookmarkStart w:id="68" w:name="_Toc186122992"/>
      <w:bookmarkStart w:id="69" w:name="_Toc186124152"/>
      <w:bookmarkStart w:id="70" w:name="_Toc25155"/>
      <w:r>
        <w:rPr>
          <w:rFonts w:hint="eastAsia" w:ascii="宋体" w:hAnsi="宋体" w:eastAsia="宋体" w:cs="宋体"/>
          <w:b/>
          <w:bCs/>
          <w:color w:val="000000"/>
          <w:sz w:val="28"/>
          <w:szCs w:val="28"/>
          <w:lang w:val="en-US" w:eastAsia="zh-CN"/>
        </w:rPr>
        <w:t>4.</w:t>
      </w:r>
      <w:r>
        <w:rPr>
          <w:rFonts w:hint="eastAsia" w:ascii="宋体" w:hAnsi="宋体" w:cs="宋体"/>
          <w:b/>
          <w:bCs/>
          <w:color w:val="000000"/>
          <w:sz w:val="28"/>
          <w:szCs w:val="28"/>
          <w:lang w:val="en-US" w:eastAsia="zh-CN"/>
        </w:rPr>
        <w:t>3</w:t>
      </w:r>
      <w:r>
        <w:rPr>
          <w:rFonts w:hint="eastAsia" w:ascii="宋体" w:hAnsi="宋体" w:eastAsia="宋体" w:cs="宋体"/>
          <w:b/>
          <w:bCs/>
          <w:color w:val="000000"/>
          <w:sz w:val="28"/>
          <w:szCs w:val="28"/>
          <w:lang w:val="en-US" w:eastAsia="zh-CN"/>
        </w:rPr>
        <w:t xml:space="preserve"> </w:t>
      </w:r>
      <w:bookmarkEnd w:id="67"/>
      <w:bookmarkEnd w:id="68"/>
      <w:bookmarkEnd w:id="69"/>
      <w:r>
        <w:rPr>
          <w:rFonts w:hint="eastAsia" w:ascii="宋体" w:hAnsi="宋体" w:eastAsia="宋体" w:cs="宋体"/>
          <w:b/>
          <w:bCs/>
          <w:color w:val="000000"/>
          <w:sz w:val="28"/>
          <w:szCs w:val="28"/>
          <w:lang w:val="en-US" w:eastAsia="zh-CN"/>
        </w:rPr>
        <w:t>信息报告与通报</w:t>
      </w:r>
      <w:bookmarkEnd w:id="70"/>
    </w:p>
    <w:p w14:paraId="4F3136C2">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4.3.1 信息报告与通报原则及对象</w:t>
      </w:r>
    </w:p>
    <w:p w14:paraId="310D896A">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突发环境事件发生后，涉事企业、生产经营者应当立即向区生态环境局（023-52226422）或区政府（023-52012345）报告事态发展情况和先期处置情况。</w:t>
      </w:r>
    </w:p>
    <w:p w14:paraId="670DEDB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白鹤街道办事处在发现或得知水源地突发环境事件信息后，应立即进行核实，了解有关情况。核实后，第一时间向区指挥部办公室等有关部门或单位报告。经核实的水源地突发环境事件，向突发环境事件相关部门或单位进行信息通报。白鹤街道办事处有关部门和单位要采取一切措施尽快掌握情况，30分钟内进行电话报告、1小时内进行书面报告。</w:t>
      </w:r>
    </w:p>
    <w:p w14:paraId="7771E9C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发生突发环境事件后，</w:t>
      </w:r>
      <w:r>
        <w:rPr>
          <w:rFonts w:hint="eastAsia" w:cs="宋体"/>
          <w:color w:val="auto"/>
          <w:sz w:val="28"/>
          <w:szCs w:val="28"/>
          <w:lang w:val="en-US" w:eastAsia="zh-CN"/>
        </w:rPr>
        <w:t>白鹤街道办事处</w:t>
      </w:r>
      <w:r>
        <w:rPr>
          <w:rFonts w:hint="eastAsia" w:ascii="宋体" w:hAnsi="宋体" w:eastAsia="宋体" w:cs="宋体"/>
          <w:color w:val="auto"/>
          <w:sz w:val="28"/>
          <w:szCs w:val="28"/>
          <w:lang w:val="en-US" w:eastAsia="zh-CN"/>
        </w:rPr>
        <w:t>要及时向区生态环境局</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区政府有关部门通报。因生产安全事故、交通事故、自然灾害等引发突发环境事件的，及时向区应急管理、公安、交通</w:t>
      </w:r>
      <w:r>
        <w:rPr>
          <w:rFonts w:hint="eastAsia" w:cs="宋体"/>
          <w:color w:val="auto"/>
          <w:sz w:val="28"/>
          <w:szCs w:val="28"/>
          <w:lang w:val="en-US" w:eastAsia="zh-CN"/>
        </w:rPr>
        <w:t>、</w:t>
      </w:r>
      <w:r>
        <w:rPr>
          <w:rFonts w:hint="eastAsia" w:ascii="宋体" w:hAnsi="宋体" w:eastAsia="宋体" w:cs="宋体"/>
          <w:color w:val="auto"/>
          <w:sz w:val="28"/>
          <w:szCs w:val="28"/>
          <w:lang w:val="en-US" w:eastAsia="zh-CN"/>
        </w:rPr>
        <w:t>生态环境局等有关部门通报。</w:t>
      </w:r>
    </w:p>
    <w:p w14:paraId="17001AF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突发环境事件已经或可能涉及相邻行政区域的，应当及时通报相邻行政区域政府。接到相邻行政区域通报的政府应当及时调查了解情况，并按照相关规定报告突发环境事件信息。</w:t>
      </w:r>
    </w:p>
    <w:p w14:paraId="47A4FE09">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4.3.2 信息报告与通报程序及内容</w:t>
      </w:r>
    </w:p>
    <w:p w14:paraId="7DBE2A3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初报。报告内容主要包括水源地突发环境事件的发生时间、地点、信息来源、事件起因和性质、基本过程、主要污染物和数量、监测结果、人员伤亡情况、水源地受影响情况、事件发展趋势、处置情况、拟采取的措施以及下一步工作建议等初步情况。</w:t>
      </w:r>
    </w:p>
    <w:p w14:paraId="71639B4A">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续报。在初报的基础上，报告事件及有关处置措施的进展情况。</w:t>
      </w:r>
    </w:p>
    <w:p w14:paraId="128052F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终报。在初报、续报的基础上，报告突发环境事件的处置措施、过程和结果等详细情况。</w:t>
      </w:r>
    </w:p>
    <w:p w14:paraId="37AAEE2F">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1" w:name="_Toc3988"/>
      <w:r>
        <w:rPr>
          <w:rFonts w:hint="eastAsia" w:ascii="宋体" w:hAnsi="宋体" w:eastAsia="宋体" w:cs="宋体"/>
          <w:b/>
          <w:bCs/>
          <w:color w:val="000000"/>
          <w:sz w:val="28"/>
          <w:szCs w:val="28"/>
          <w:lang w:val="en-US" w:eastAsia="zh-CN"/>
        </w:rPr>
        <w:t>4.4 事态跟踪研判</w:t>
      </w:r>
      <w:bookmarkEnd w:id="71"/>
    </w:p>
    <w:p w14:paraId="378B222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现场应急指挥部组织开展事态跟踪研判。事态跟踪研判包括但不限于以下内容：事故点下游沿河水利设施工程情况、判断污染物进入河流或水库的数量及种类性质、事故点下游水系分布（包括清洁水情况）、距离水源地取水口的距离和可能对水源地造成的危害，以及备用水源地情况。根据事态跟踪研判的结果，制定和动态调整应急响应有关方案、实施应急监测、污染源排查与处置和应急处置方法。</w:t>
      </w:r>
    </w:p>
    <w:p w14:paraId="4947EA00">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2" w:name="_Toc16945"/>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.5 应急监测</w:t>
      </w:r>
      <w:bookmarkEnd w:id="72"/>
    </w:p>
    <w:p w14:paraId="379572DC">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4.5.1 开展应急监测程序</w:t>
      </w:r>
    </w:p>
    <w:p w14:paraId="0CFAD8D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初期，各有关部门或单位应按照各自职责，根据现场实际情况制定监测方案、设置监测点位（断面）、确定监测频次、组织开展监测、形成监测报告，第一时间向现场应急指挥部报告监测结果和污染浓度变化态势图，并安排人员对突发环境事件监测情况进行全过程记录。</w:t>
      </w:r>
    </w:p>
    <w:p w14:paraId="4C19C8C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事件处置中期，应根据事态发展，如上游来水量、应急处置措施效果等情况，适时调整监测点位（断面）和监测频次。</w:t>
      </w:r>
    </w:p>
    <w:p w14:paraId="4CFE2CA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事件处置末期，应按照现场应急指挥部命令，开展跟踪监测，并向现场应急指挥部提交应急监测总结报告。</w:t>
      </w:r>
    </w:p>
    <w:p w14:paraId="1372BF82">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4.5.2 制定应急监测方案</w:t>
      </w:r>
    </w:p>
    <w:p w14:paraId="1F4AFB7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根据突发事件性质，征询应急专家组意见，编制应急监测方案，内容应包括依据的技术规范、实施人员、布点原则、采样频次和注意事项、监测结果记录和报告方式等。</w:t>
      </w:r>
    </w:p>
    <w:p w14:paraId="7AC5B23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应急监测重点是抓住污染带前峰、峰值位置和浓度变化，对污染带移动过程形成动态监控。当污染来源不明时，应先通过应</w:t>
      </w:r>
    </w:p>
    <w:p w14:paraId="0F9349E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急监测确定特征污染物成分，再进行污染源排查和先期处置。监测范围、布点、频次及监测因子按如下原则进行布置：</w:t>
      </w:r>
    </w:p>
    <w:p w14:paraId="66B613E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（1）监测范围</w:t>
      </w:r>
    </w:p>
    <w:p w14:paraId="02ECB9A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应尽量涵盖水源地突发环境事件的污染范围，并包括事件可能影响区域和污染物本底浓度的监测区域。</w:t>
      </w:r>
    </w:p>
    <w:p w14:paraId="2C9F9A6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（2）监测布点和频次</w:t>
      </w:r>
    </w:p>
    <w:p w14:paraId="16211D5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以突发环境事件发生地点为中心或源头，结合水文和气象条件，在其扩散方向及可能受到影响的水源地位置合理布点，必要时在事故影响区域内水源取水口、农灌区取水口处设置监测点位（断面）。应采取不同点位（断面）相同间隔时间（一般为1小时）同步采样监测方式，动态监控污染带移动过程。</w:t>
      </w:r>
    </w:p>
    <w:p w14:paraId="51D492F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①针对固定源突发环境事件，应对固定源排放口附近水域、下游水源地附近水域进行加密跟踪监测。</w:t>
      </w:r>
    </w:p>
    <w:p w14:paraId="1C4E64F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②针对流动源、非点源突发环境事件，应对事发区域下游水域、下游水源地附近进行加密跟踪监测。</w:t>
      </w:r>
    </w:p>
    <w:p w14:paraId="2D96795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③水华灾害突发事件若发生在一级、二级保护区范围，应对取水口不同水层进行加密跟踪监测。</w:t>
      </w:r>
    </w:p>
    <w:p w14:paraId="3563752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监测通常采集瞬时样品，采样量根据分析项目及分析方法确定，采样量还应满足留样要求。污染发生后，应首先采集污染源样品，注意采样的代表性。采样频次主要根据现场污染状况确定。事故刚发生时，采样频次可适当增加，待摸清污染物变化规律后，可减少采样频次。依据不同的环境区域功能和事故发生地的污染实际情况，力求以最低的采样频次，取得最有代表性的样品，既满足反映环境污染程度、范围的要求，又切实可行。</w:t>
      </w:r>
    </w:p>
    <w:p w14:paraId="21E724F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（3）现场采样</w:t>
      </w:r>
    </w:p>
    <w:p w14:paraId="7108087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①根据我区实际，配置常用的现场应急监测仪器设备，如检测试纸、快速检测管和便携式检测仪设备。需要时，配置便携式气相色谱仪、便携式红外光谱仪、便携式气相色谱/质谱分析仪等应急</w:t>
      </w:r>
      <w:r>
        <w:rPr>
          <w:rFonts w:hint="eastAsia" w:cs="宋体"/>
          <w:color w:val="auto"/>
          <w:sz w:val="28"/>
          <w:szCs w:val="28"/>
          <w:lang w:val="en-US" w:eastAsia="zh-CN"/>
        </w:rPr>
        <w:t>检测仪器</w:t>
      </w:r>
      <w:r>
        <w:rPr>
          <w:rFonts w:hint="eastAsia" w:ascii="宋体" w:hAnsi="宋体" w:eastAsia="宋体" w:cs="宋体"/>
          <w:color w:val="auto"/>
          <w:sz w:val="28"/>
          <w:szCs w:val="28"/>
          <w:lang w:val="en-US" w:eastAsia="zh-CN"/>
        </w:rPr>
        <w:t>。</w:t>
      </w:r>
    </w:p>
    <w:p w14:paraId="1647EF1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②凡具备现场测定条件的监测项目，应尽量进行现场测定，必要时，另采集一份样品送实验室分析测定，以确认现场的定性或定量分析结果。用检测试纸、快速检测管和便携式仪器进行测定时，应至少连续平行测定两侧，以确认现场测定结果。采样频次应考虑污染程度和现场水文条件，按照应急专家组的意见确定。</w:t>
      </w:r>
    </w:p>
    <w:p w14:paraId="1901439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（4）监测项目。监测因子包括pH值、化学需氧量、氨氮、总磷、总氮等。可根据突发环境事件特征，删减或补充相关监测因子。</w:t>
      </w:r>
    </w:p>
    <w:p w14:paraId="0B2F1F7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（5）监测结果与数据报告。应按照有关监测技术规范进行数据处理。监测结果可用定性、半定量或定量方式报出。监测结果可采用电话、传真、快报、简报、监测报告等形式第一时间报告现场应急指挥部。</w:t>
      </w:r>
    </w:p>
    <w:p w14:paraId="0FE37EA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ascii="Times New Roman" w:hAnsi="Times New Roman" w:eastAsia="方正仿宋_GBK"/>
        </w:rPr>
      </w:pPr>
      <w:r>
        <w:rPr>
          <w:rFonts w:hint="eastAsia" w:ascii="宋体" w:hAnsi="宋体" w:eastAsia="宋体" w:cs="宋体"/>
          <w:color w:val="auto"/>
          <w:sz w:val="28"/>
          <w:szCs w:val="28"/>
          <w:lang w:val="en-US" w:eastAsia="zh-CN"/>
        </w:rPr>
        <w:t>（6）监测数据的质量保证。应急监测过程中的样品采集、现场监测、实验室监测、数据统计等环节，都应有质量控制措施，并对应急监测报告实行三级审核。</w:t>
      </w:r>
    </w:p>
    <w:p w14:paraId="587F4E0C">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3" w:name="_Toc186124196"/>
      <w:bookmarkStart w:id="74" w:name="_Toc186123043"/>
      <w:bookmarkStart w:id="75" w:name="_Toc186122738"/>
      <w:bookmarkStart w:id="76" w:name="_Toc186125031"/>
      <w:bookmarkStart w:id="77" w:name="_Toc4315"/>
      <w:r>
        <w:rPr>
          <w:rFonts w:hint="eastAsia" w:ascii="宋体" w:hAnsi="宋体" w:eastAsia="宋体" w:cs="宋体"/>
          <w:b/>
          <w:bCs/>
          <w:color w:val="000000"/>
          <w:sz w:val="28"/>
          <w:szCs w:val="28"/>
          <w:lang w:val="en-US" w:eastAsia="zh-CN"/>
        </w:rPr>
        <w:t>4.6 事故源排查与处置</w:t>
      </w:r>
      <w:bookmarkEnd w:id="73"/>
      <w:bookmarkEnd w:id="74"/>
      <w:bookmarkEnd w:id="75"/>
      <w:bookmarkEnd w:id="76"/>
      <w:bookmarkEnd w:id="77"/>
    </w:p>
    <w:p w14:paraId="44F090B8">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4.6.1 排查对象</w:t>
      </w:r>
    </w:p>
    <w:p w14:paraId="18248F5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水质监测发现异常、污染物来源不确定时，由综合协调组负责开展溯源分析。综合协调组根据应急监测确定特征污染物成分，再结合特征污染物浓度变化、释放总量、释放路径、释放时间，以及当时的水文和气象条件，迅速组织开展事故源排查。针对不同类型污染物的排查重点和对象如下。</w:t>
      </w:r>
    </w:p>
    <w:p w14:paraId="1A36113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（1）有机类、营养盐类污染：重点排查城镇生活污水处理厂、工业企业等的异常情况。</w:t>
      </w:r>
    </w:p>
    <w:p w14:paraId="4EA2BF3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营养盐类污染：重点排查城镇生活污水处理厂、工业企业、畜禽养殖场（户）、农田种植户、农村居民点、医疗场所等，调查污水处理设施运行、养殖废物处理处置、农药化肥施用、农村生活污染、医疗废水处理及消毒设施的异常情况。</w:t>
      </w:r>
    </w:p>
    <w:p w14:paraId="58A1329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（3）细菌类污染：重点排查调查污水处理设施运行、医疗场所等的异常情况。</w:t>
      </w:r>
    </w:p>
    <w:p w14:paraId="7EAD0F1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（4）农药类污染：重点排查农药制造有关的工业企业、果园种植园（户）、农田种植户、农灌退水排放口，调查农药施用和流失的异常情况。</w:t>
      </w:r>
    </w:p>
    <w:p w14:paraId="11979D1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（5）石油类污染：重点排查加油站、运输车辆、运输船舶、油气管线，调查上述企业和单位的异常情况。</w:t>
      </w:r>
    </w:p>
    <w:p w14:paraId="3AB75EA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重金属及其他有毒有害物质污染：重点排查采矿及选矿的工业企业（含化工园区）、尾矿库、危险废物储存单位、危险品仓库和装卸码头、危化品运输船舶、危化品运输车辆等，调查上述企业和单位的异常情况。</w:t>
      </w:r>
    </w:p>
    <w:p w14:paraId="38E223E3">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4.6.2 切断污染源</w:t>
      </w:r>
    </w:p>
    <w:p w14:paraId="0AB8550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涉事企事业单位或其他生产经营者应第一时间启动应急预案，切断固定的、流动的或非点源的污染源或泄漏源，若涉事企事业单位或其他生产经营者无法有效控制污染源，应将污染源信息上报应急处置组，由应急处置组组织实施事故源切断或控制。处置措施主要采取切断污染源、收集和围堵污染物等，包括但不限于以下内容。</w:t>
      </w:r>
    </w:p>
    <w:p w14:paraId="6C12A14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（1）对发生非正常排放或有毒有害物质泄漏的固定源突发环境事件，应尽快采取关闭、封堵、收集、转移等措施，切断污染源或泄漏源。</w:t>
      </w:r>
    </w:p>
    <w:p w14:paraId="363FCD5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（2）对道路交通运输过程中发生的流动源突发事件，可启动路面系统的导流槽、应急池或紧急设置围堰、闸坝等，对污染源进行围堵并收集污染物。</w:t>
      </w:r>
    </w:p>
    <w:p w14:paraId="0D3856D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（3）对水上船舶运输过程中发生的流动源突发事件，主要采取救援打捞、油毡吸附、围油栏等方式，对污染源进行围堵并收集污染物。</w:t>
      </w:r>
    </w:p>
    <w:p w14:paraId="0EE82A3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（4）启动应急收集系统集中收集陆域污染物，设立拦截设施，防止污染物在陆域蔓延，组织有关部门对污染物进行回收处置。</w:t>
      </w:r>
    </w:p>
    <w:p w14:paraId="51FBE52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（5）根据现场事态发展对扩散至水体的污染物进行处置。</w:t>
      </w:r>
    </w:p>
    <w:p w14:paraId="7C0469B5">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78" w:name="_Toc186125032"/>
      <w:bookmarkStart w:id="79" w:name="_Toc186124197"/>
      <w:bookmarkStart w:id="80" w:name="_Toc186123044"/>
      <w:bookmarkStart w:id="81" w:name="_Toc6985"/>
      <w:bookmarkStart w:id="82" w:name="_Toc28365"/>
      <w:bookmarkStart w:id="83" w:name="_Toc186122739"/>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lang w:val="en-US" w:eastAsia="zh-CN"/>
        </w:rPr>
        <w:t>.7 应急处置</w:t>
      </w:r>
      <w:bookmarkEnd w:id="78"/>
      <w:bookmarkEnd w:id="79"/>
      <w:bookmarkEnd w:id="80"/>
      <w:bookmarkEnd w:id="81"/>
      <w:bookmarkEnd w:id="82"/>
      <w:bookmarkEnd w:id="83"/>
    </w:p>
    <w:p w14:paraId="02BD70EE">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4.7.1 制定现场处置方案</w:t>
      </w:r>
    </w:p>
    <w:p w14:paraId="6DB11F1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现场应急指挥部应根据污染特征，结合专家组意见，尽快制定现场处置方案。现场处置方案包括但不限于以下内容：应急监测、污染处置措施、物资调集、应急队伍和人员安排、供水单位应对等。采取拦截、导流、疏浚等形式防止水体污染扩大；采取隔离、吸附、打捞、氧化还原、中和、去污洗消、临时收贮、转移异地处置、临时改造污染处置工艺或临时建设污染处置工程等方法处置污染物。必要时，要求其他排污单位停产、限产、限排，减轻环境污染负荷。水源地突发环境事故典型情景及应对处置措施如下。</w:t>
      </w:r>
    </w:p>
    <w:p w14:paraId="4604E35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（1）水华灾害突发事件。</w:t>
      </w:r>
    </w:p>
    <w:p w14:paraId="567CCFD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依据HJ1098水华程度分级标准及相关技术规范，对一级、二级水源保护区发生轻度水华的区域，定期、不定期组织重点水域岸线巡查及湖面观测；在重点水域组织增氧曝气作业，在满足防汛等安全的条件下，加大重点水域水体置换流量，改善水动力条件；加大重点水域藻类拦截、藻水打捞、藻水处理等作业量。对一级、二级水源保护区发生中度水华的区域，驻守重点水域，组织岸线巡查，直至水华消退；加大重点水域增氧曝气作业量；在满足防汛等安全的条件下，持续加大重点水域水体置换流量，改善水动力条件；在驻守处理的基础上，增配人员、物资、设施设备等机动力量，持续加大重点水域藻类拦截、藻水打捞、藻水处理等的作业量；加强湖面观测，及时组织藻类围捕作业。对一级、二级水源保护区的发生重度水华区域，驻守重点水域，加大组织岸线巡查力度，直至水华消退；集中调配人员、物资、设施设备等机动力量，依据水库水域功能分区及敏感程度，以防范藻类水华大面积、高密度堆积，发白发臭为目标，渐次保障重点水域；重点水域持续加大增氧曝气作业量；在满足防汛等安全的条件下，持续加大重点水域水体置换流量，改善水动力条件；藻水打捞、藻水处理等设施设备，保持满负荷运行，驻守湖面观测，持续组织藻类围捕作业。</w:t>
      </w:r>
    </w:p>
    <w:p w14:paraId="5C2F7F3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（2）油类污染事件</w:t>
      </w:r>
    </w:p>
    <w:p w14:paraId="02547A5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油污呈连续带状分布时，在取水口铺设拦油隔离设施，驱离油污，并实时观察反应池和沉淀池池面情况；当出现大量油污，整个水源地油污呈面状分布时，在取水口围油设施内铺设吸油毡，油污进入沉淀池时增加吸油毡铺设，以不进入集水槽为原则；若含油污水进入反应池后半部，一泵停止取水，在取水口水面铺设围油栏，水厂投加粉末活性炭，投率为15公斤/千吨~20公斤/千吨。</w:t>
      </w:r>
    </w:p>
    <w:p w14:paraId="3FC173E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（3）水体内污染物治理、总量或浓度削减</w:t>
      </w:r>
    </w:p>
    <w:p w14:paraId="6258CD0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应急专家组等意见，制定综合处置方案，经现场应急指挥部确认后实施。一般采取隔离、吸附、打捞、扰动等物理方法，氧化、沉淀等化学方法，利用湿地生物群消解等生物方法和上游调水等稀释方法，可以采取一种或多种方式，力争短时间内削减污染物浓度。</w:t>
      </w:r>
    </w:p>
    <w:p w14:paraId="58A5ABC2">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应急工程设施拦截污染水体。结合涉饮用水水源地河流的“一河一图一策”应急响应方案，充分利用流域环境应急设施和空间，在河道内启用或修建拦截坝、节制闸等工程设施拦截污染水体；通过导流渠将未受污染水体导流至污染水体下游，通过分流沟将污染水体分流至水源保护区外进行收集处置；利用前置库、缓冲池等工程设施，降低污染水体的污染物浓度，为应急处置争取时间。</w:t>
      </w:r>
    </w:p>
    <w:p w14:paraId="19BA286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（5）</w:t>
      </w:r>
      <w:r>
        <w:rPr>
          <w:rFonts w:hint="eastAsia" w:ascii="宋体" w:hAnsi="宋体" w:eastAsia="宋体" w:cs="宋体"/>
          <w:color w:val="auto"/>
          <w:sz w:val="28"/>
          <w:szCs w:val="28"/>
          <w:lang w:val="en-US" w:eastAsia="zh-CN"/>
        </w:rPr>
        <w:t>事故废水处置措施</w:t>
      </w:r>
    </w:p>
    <w:p w14:paraId="2CB7BB7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1）设置拦截措施，避免事故废水流入河流，如以下河，铺设围油栏等拦截物品在河流上，对泄漏物质进行拦截，并向上报告。</w:t>
      </w:r>
    </w:p>
    <w:p w14:paraId="2F22598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2）设置导流设施将事故废水引流，避免污染范围扩大。</w:t>
      </w:r>
    </w:p>
    <w:p w14:paraId="093ADB2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3）对拦截的事故废水，用潜油泵进行收集。</w:t>
      </w:r>
    </w:p>
    <w:p w14:paraId="6B6A082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4）对收集的废水进行处置，处置达标后排放。如不能处置应委托有资质的单位进行处置。</w:t>
      </w:r>
    </w:p>
    <w:p w14:paraId="0456DDA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w:t>
      </w:r>
      <w:r>
        <w:rPr>
          <w:rFonts w:hint="eastAsia" w:cs="宋体"/>
          <w:color w:val="auto"/>
          <w:sz w:val="28"/>
          <w:szCs w:val="28"/>
          <w:lang w:val="en-US" w:eastAsia="zh-CN"/>
        </w:rPr>
        <w:t>6</w:t>
      </w:r>
      <w:r>
        <w:rPr>
          <w:rFonts w:hint="eastAsia" w:ascii="宋体" w:hAnsi="宋体" w:eastAsia="宋体" w:cs="宋体"/>
          <w:color w:val="auto"/>
          <w:sz w:val="28"/>
          <w:szCs w:val="28"/>
          <w:lang w:val="en-US" w:eastAsia="zh-CN"/>
        </w:rPr>
        <w:t>）饮用水水源深度处置。在水质受污染程度不严重的情</w:t>
      </w:r>
      <w:r>
        <w:rPr>
          <w:rFonts w:hint="eastAsia" w:cs="宋体"/>
          <w:color w:val="auto"/>
          <w:sz w:val="28"/>
          <w:szCs w:val="28"/>
          <w:lang w:val="en-US" w:eastAsia="zh-CN"/>
        </w:rPr>
        <w:t>况下</w:t>
      </w:r>
      <w:r>
        <w:rPr>
          <w:rFonts w:hint="eastAsia" w:ascii="宋体" w:hAnsi="宋体" w:eastAsia="宋体" w:cs="宋体"/>
          <w:color w:val="auto"/>
          <w:sz w:val="28"/>
          <w:szCs w:val="28"/>
          <w:lang w:val="en-US" w:eastAsia="zh-CN"/>
        </w:rPr>
        <w:t>，采用深度处理工艺（如臭氧-活性炭技术、生物活性炭技术、膜分离技术等）对来水进行处理，确保水厂出水水质达标。</w:t>
      </w:r>
    </w:p>
    <w:p w14:paraId="4BE9E76D">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针对污染物可采取的物理、化学、生物处理技术如表</w:t>
      </w:r>
      <w:r>
        <w:rPr>
          <w:rFonts w:hint="eastAsia" w:cs="宋体"/>
          <w:color w:val="auto"/>
          <w:sz w:val="28"/>
          <w:szCs w:val="28"/>
          <w:lang w:val="en-US" w:eastAsia="zh-CN"/>
        </w:rPr>
        <w:t>4.1</w:t>
      </w:r>
      <w:r>
        <w:rPr>
          <w:rFonts w:hint="eastAsia" w:ascii="宋体" w:hAnsi="宋体" w:eastAsia="宋体" w:cs="宋体"/>
          <w:color w:val="auto"/>
          <w:sz w:val="28"/>
          <w:szCs w:val="28"/>
          <w:lang w:val="en-US" w:eastAsia="zh-CN"/>
        </w:rPr>
        <w:t>-1所示。</w:t>
      </w:r>
    </w:p>
    <w:p w14:paraId="19A2881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482" w:firstLineChars="200"/>
        <w:jc w:val="center"/>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表</w:t>
      </w:r>
      <w:r>
        <w:rPr>
          <w:rFonts w:hint="eastAsia"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4.1-1</w:t>
      </w:r>
      <w:r>
        <w:rPr>
          <w:rFonts w:hint="eastAsia" w:cs="宋体"/>
          <w:b/>
          <w:bCs/>
          <w:color w:val="auto"/>
          <w:sz w:val="24"/>
          <w:szCs w:val="24"/>
          <w:lang w:val="en-US" w:eastAsia="zh-CN"/>
        </w:rPr>
        <w:t xml:space="preserve"> </w:t>
      </w:r>
      <w:r>
        <w:rPr>
          <w:rFonts w:hint="eastAsia" w:ascii="宋体" w:hAnsi="宋体" w:eastAsia="宋体" w:cs="宋体"/>
          <w:b/>
          <w:bCs/>
          <w:color w:val="auto"/>
          <w:sz w:val="24"/>
          <w:szCs w:val="24"/>
          <w:lang w:val="en-US" w:eastAsia="zh-CN"/>
        </w:rPr>
        <w:t>适用于处理不同超标项目的推荐技术</w:t>
      </w:r>
    </w:p>
    <w:tbl>
      <w:tblPr>
        <w:tblStyle w:val="16"/>
        <w:tblW w:w="850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3"/>
        <w:gridCol w:w="6481"/>
      </w:tblGrid>
      <w:tr w14:paraId="7A37DA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bottom w:val="single" w:color="000000" w:sz="4" w:space="0"/>
              <w:right w:val="single" w:color="000000" w:sz="4" w:space="0"/>
            </w:tcBorders>
            <w:noWrap w:val="0"/>
            <w:vAlign w:val="center"/>
          </w:tcPr>
          <w:p w14:paraId="54F1D472">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超标项目</w:t>
            </w:r>
          </w:p>
        </w:tc>
        <w:tc>
          <w:tcPr>
            <w:tcW w:w="6481" w:type="dxa"/>
            <w:tcBorders>
              <w:left w:val="single" w:color="000000" w:sz="4" w:space="0"/>
              <w:bottom w:val="single" w:color="000000" w:sz="4" w:space="0"/>
            </w:tcBorders>
            <w:noWrap w:val="0"/>
            <w:vAlign w:val="center"/>
          </w:tcPr>
          <w:p w14:paraId="41DC4289">
            <w:pPr>
              <w:pStyle w:val="30"/>
              <w:keepNext w:val="0"/>
              <w:keepLines w:val="0"/>
              <w:pageBreakBefore w:val="0"/>
              <w:widowControl w:val="0"/>
              <w:tabs>
                <w:tab w:val="left" w:pos="556"/>
                <w:tab w:val="left" w:pos="1108"/>
                <w:tab w:val="left" w:pos="1660"/>
              </w:tabs>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推</w:t>
            </w:r>
            <w:r>
              <w:rPr>
                <w:rFonts w:hint="eastAsia" w:ascii="宋体" w:hAnsi="宋体" w:eastAsia="宋体" w:cs="宋体"/>
                <w:sz w:val="21"/>
                <w:szCs w:val="21"/>
              </w:rPr>
              <w:tab/>
            </w:r>
            <w:r>
              <w:rPr>
                <w:rFonts w:hint="eastAsia" w:ascii="宋体" w:hAnsi="宋体" w:eastAsia="宋体" w:cs="宋体"/>
                <w:sz w:val="21"/>
                <w:szCs w:val="21"/>
              </w:rPr>
              <w:t>荐</w:t>
            </w:r>
            <w:r>
              <w:rPr>
                <w:rFonts w:hint="eastAsia" w:ascii="宋体" w:hAnsi="宋体" w:eastAsia="宋体" w:cs="宋体"/>
                <w:sz w:val="21"/>
                <w:szCs w:val="21"/>
              </w:rPr>
              <w:tab/>
            </w:r>
            <w:r>
              <w:rPr>
                <w:rFonts w:hint="eastAsia" w:ascii="宋体" w:hAnsi="宋体" w:eastAsia="宋体" w:cs="宋体"/>
                <w:sz w:val="21"/>
                <w:szCs w:val="21"/>
              </w:rPr>
              <w:t>技</w:t>
            </w:r>
            <w:r>
              <w:rPr>
                <w:rFonts w:hint="eastAsia" w:ascii="宋体" w:hAnsi="宋体" w:eastAsia="宋体" w:cs="宋体"/>
                <w:sz w:val="21"/>
                <w:szCs w:val="21"/>
              </w:rPr>
              <w:tab/>
            </w:r>
            <w:r>
              <w:rPr>
                <w:rFonts w:hint="eastAsia" w:ascii="宋体" w:hAnsi="宋体" w:eastAsia="宋体" w:cs="宋体"/>
                <w:sz w:val="21"/>
                <w:szCs w:val="21"/>
              </w:rPr>
              <w:t>术</w:t>
            </w:r>
          </w:p>
        </w:tc>
      </w:tr>
      <w:tr w14:paraId="701BAC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1300F091">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浊度</w:t>
            </w:r>
          </w:p>
        </w:tc>
        <w:tc>
          <w:tcPr>
            <w:tcW w:w="6481" w:type="dxa"/>
            <w:tcBorders>
              <w:top w:val="single" w:color="000000" w:sz="4" w:space="0"/>
              <w:left w:val="single" w:color="000000" w:sz="4" w:space="0"/>
              <w:bottom w:val="single" w:color="000000" w:sz="4" w:space="0"/>
            </w:tcBorders>
            <w:noWrap w:val="0"/>
            <w:vAlign w:val="center"/>
          </w:tcPr>
          <w:p w14:paraId="2F7E111A">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快速砂滤池、絮凝、沉淀、过滤</w:t>
            </w:r>
          </w:p>
        </w:tc>
      </w:tr>
      <w:tr w14:paraId="6CD9E1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jc w:val="center"/>
        </w:trPr>
        <w:tc>
          <w:tcPr>
            <w:tcW w:w="2023" w:type="dxa"/>
            <w:tcBorders>
              <w:top w:val="single" w:color="000000" w:sz="4" w:space="0"/>
              <w:bottom w:val="single" w:color="000000" w:sz="4" w:space="0"/>
              <w:right w:val="single" w:color="000000" w:sz="4" w:space="0"/>
            </w:tcBorders>
            <w:noWrap w:val="0"/>
            <w:vAlign w:val="center"/>
          </w:tcPr>
          <w:p w14:paraId="490B1130">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色度</w:t>
            </w:r>
          </w:p>
        </w:tc>
        <w:tc>
          <w:tcPr>
            <w:tcW w:w="6481" w:type="dxa"/>
            <w:tcBorders>
              <w:top w:val="single" w:color="000000" w:sz="4" w:space="0"/>
              <w:left w:val="single" w:color="000000" w:sz="4" w:space="0"/>
              <w:bottom w:val="single" w:color="000000" w:sz="4" w:space="0"/>
            </w:tcBorders>
            <w:noWrap w:val="0"/>
            <w:vAlign w:val="center"/>
          </w:tcPr>
          <w:p w14:paraId="38DC9726">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9"/>
                <w:sz w:val="21"/>
                <w:szCs w:val="21"/>
                <w:lang w:eastAsia="zh-CN"/>
              </w:rPr>
              <w:t>快速砂滤池、絮凝；活性炭吸附；化学氧化预处理：臭氧、氯、高锰酸钾、</w:t>
            </w:r>
            <w:r>
              <w:rPr>
                <w:rFonts w:hint="eastAsia" w:ascii="宋体" w:hAnsi="宋体" w:eastAsia="宋体" w:cs="宋体"/>
                <w:spacing w:val="-5"/>
                <w:sz w:val="21"/>
                <w:szCs w:val="21"/>
                <w:lang w:eastAsia="zh-CN"/>
              </w:rPr>
              <w:t>二氧化氯</w:t>
            </w:r>
          </w:p>
        </w:tc>
      </w:tr>
      <w:tr w14:paraId="5867F3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016DCF2D">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嗅味</w:t>
            </w:r>
          </w:p>
        </w:tc>
        <w:tc>
          <w:tcPr>
            <w:tcW w:w="6481" w:type="dxa"/>
            <w:tcBorders>
              <w:top w:val="single" w:color="000000" w:sz="4" w:space="0"/>
              <w:left w:val="single" w:color="000000" w:sz="4" w:space="0"/>
              <w:bottom w:val="single" w:color="000000" w:sz="4" w:space="0"/>
            </w:tcBorders>
            <w:noWrap w:val="0"/>
            <w:vAlign w:val="center"/>
          </w:tcPr>
          <w:p w14:paraId="1263DEA8">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化学氧化预处理：臭氧、氯、高锰酸钾、二氧化氯、活性炭</w:t>
            </w:r>
          </w:p>
        </w:tc>
      </w:tr>
      <w:tr w14:paraId="35D253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jc w:val="center"/>
        </w:trPr>
        <w:tc>
          <w:tcPr>
            <w:tcW w:w="2023" w:type="dxa"/>
            <w:tcBorders>
              <w:top w:val="single" w:color="000000" w:sz="4" w:space="0"/>
              <w:bottom w:val="single" w:color="000000" w:sz="4" w:space="0"/>
              <w:right w:val="single" w:color="000000" w:sz="4" w:space="0"/>
            </w:tcBorders>
            <w:noWrap w:val="0"/>
            <w:vAlign w:val="center"/>
          </w:tcPr>
          <w:p w14:paraId="5C7E674B">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氟化物</w:t>
            </w:r>
          </w:p>
        </w:tc>
        <w:tc>
          <w:tcPr>
            <w:tcW w:w="6481" w:type="dxa"/>
            <w:tcBorders>
              <w:top w:val="single" w:color="000000" w:sz="4" w:space="0"/>
              <w:left w:val="single" w:color="000000" w:sz="4" w:space="0"/>
              <w:bottom w:val="single" w:color="000000" w:sz="4" w:space="0"/>
            </w:tcBorders>
            <w:noWrap w:val="0"/>
            <w:vAlign w:val="center"/>
          </w:tcPr>
          <w:p w14:paraId="4BED83C9">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5"/>
                <w:sz w:val="21"/>
                <w:szCs w:val="21"/>
                <w:lang w:eastAsia="zh-CN"/>
              </w:rPr>
              <w:t>吸附法：氧化铝、磷酸二钙；混凝沉淀法：硫酸铝、聚合氯化铝；离子交</w:t>
            </w:r>
            <w:r>
              <w:rPr>
                <w:rFonts w:hint="eastAsia" w:ascii="宋体" w:hAnsi="宋体" w:eastAsia="宋体" w:cs="宋体"/>
                <w:spacing w:val="-6"/>
                <w:sz w:val="21"/>
                <w:szCs w:val="21"/>
                <w:lang w:eastAsia="zh-CN"/>
              </w:rPr>
              <w:t>换法；电渗析法</w:t>
            </w:r>
          </w:p>
        </w:tc>
      </w:tr>
      <w:tr w14:paraId="4C1D00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395265D5">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氨氮</w:t>
            </w:r>
          </w:p>
        </w:tc>
        <w:tc>
          <w:tcPr>
            <w:tcW w:w="6481" w:type="dxa"/>
            <w:tcBorders>
              <w:top w:val="single" w:color="000000" w:sz="4" w:space="0"/>
              <w:left w:val="single" w:color="000000" w:sz="4" w:space="0"/>
              <w:bottom w:val="single" w:color="000000" w:sz="4" w:space="0"/>
            </w:tcBorders>
            <w:noWrap w:val="0"/>
            <w:vAlign w:val="center"/>
          </w:tcPr>
          <w:p w14:paraId="3B729F9A">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化学氧化预处理：氯、高锰酸钾；深度处理：臭氧-生物活性炭</w:t>
            </w:r>
          </w:p>
        </w:tc>
      </w:tr>
      <w:tr w14:paraId="5D3951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369657E5">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铁、锰</w:t>
            </w:r>
          </w:p>
        </w:tc>
        <w:tc>
          <w:tcPr>
            <w:tcW w:w="6481" w:type="dxa"/>
            <w:tcBorders>
              <w:top w:val="single" w:color="000000" w:sz="4" w:space="0"/>
              <w:left w:val="single" w:color="000000" w:sz="4" w:space="0"/>
              <w:bottom w:val="single" w:color="000000" w:sz="4" w:space="0"/>
            </w:tcBorders>
            <w:noWrap w:val="0"/>
            <w:vAlign w:val="center"/>
          </w:tcPr>
          <w:p w14:paraId="0D44FD25">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锰砂；化学氧化预处理：氯、高锰酸钾；深度处理：臭氧-生物活性炭</w:t>
            </w:r>
          </w:p>
        </w:tc>
      </w:tr>
      <w:tr w14:paraId="71B55F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1BFB9297">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挥发性有机物</w:t>
            </w:r>
          </w:p>
        </w:tc>
        <w:tc>
          <w:tcPr>
            <w:tcW w:w="6481" w:type="dxa"/>
            <w:tcBorders>
              <w:top w:val="single" w:color="000000" w:sz="4" w:space="0"/>
              <w:left w:val="single" w:color="000000" w:sz="4" w:space="0"/>
              <w:bottom w:val="single" w:color="000000" w:sz="4" w:space="0"/>
            </w:tcBorders>
            <w:noWrap w:val="0"/>
            <w:vAlign w:val="center"/>
          </w:tcPr>
          <w:p w14:paraId="1D2DAFF8">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rPr>
            </w:pPr>
            <w:r>
              <w:rPr>
                <w:rFonts w:hint="eastAsia" w:ascii="宋体" w:hAnsi="宋体" w:eastAsia="宋体" w:cs="宋体"/>
                <w:sz w:val="21"/>
                <w:szCs w:val="21"/>
              </w:rPr>
              <w:t>生物活性炭吸附</w:t>
            </w:r>
          </w:p>
        </w:tc>
      </w:tr>
      <w:tr w14:paraId="3E1E5A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jc w:val="center"/>
        </w:trPr>
        <w:tc>
          <w:tcPr>
            <w:tcW w:w="2023" w:type="dxa"/>
            <w:tcBorders>
              <w:top w:val="single" w:color="000000" w:sz="4" w:space="0"/>
              <w:bottom w:val="single" w:color="000000" w:sz="4" w:space="0"/>
              <w:right w:val="single" w:color="000000" w:sz="4" w:space="0"/>
            </w:tcBorders>
            <w:noWrap w:val="0"/>
            <w:vAlign w:val="center"/>
          </w:tcPr>
          <w:p w14:paraId="335EA702">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三氯甲烷和腐殖酸</w:t>
            </w:r>
          </w:p>
        </w:tc>
        <w:tc>
          <w:tcPr>
            <w:tcW w:w="6481" w:type="dxa"/>
            <w:tcBorders>
              <w:top w:val="single" w:color="000000" w:sz="4" w:space="0"/>
              <w:left w:val="single" w:color="000000" w:sz="4" w:space="0"/>
              <w:bottom w:val="single" w:color="000000" w:sz="4" w:space="0"/>
            </w:tcBorders>
            <w:noWrap w:val="0"/>
            <w:vAlign w:val="center"/>
          </w:tcPr>
          <w:p w14:paraId="1A68689E">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22"/>
                <w:sz w:val="21"/>
                <w:szCs w:val="21"/>
                <w:lang w:eastAsia="zh-CN"/>
              </w:rPr>
              <w:t>前驱物的去除：强化混凝、粒状活性炭、生物活性炭；氯化副产物的去除：</w:t>
            </w:r>
            <w:r>
              <w:rPr>
                <w:rFonts w:hint="eastAsia" w:ascii="宋体" w:hAnsi="宋体" w:eastAsia="宋体" w:cs="宋体"/>
                <w:spacing w:val="-5"/>
                <w:sz w:val="21"/>
                <w:szCs w:val="21"/>
                <w:lang w:eastAsia="zh-CN"/>
              </w:rPr>
              <w:t>粒状活性炭</w:t>
            </w:r>
          </w:p>
        </w:tc>
      </w:tr>
      <w:tr w14:paraId="79BE73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75B69E4C">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有机化合物</w:t>
            </w:r>
          </w:p>
        </w:tc>
        <w:tc>
          <w:tcPr>
            <w:tcW w:w="6481" w:type="dxa"/>
            <w:tcBorders>
              <w:top w:val="single" w:color="000000" w:sz="4" w:space="0"/>
              <w:left w:val="single" w:color="000000" w:sz="4" w:space="0"/>
              <w:bottom w:val="single" w:color="000000" w:sz="4" w:space="0"/>
            </w:tcBorders>
            <w:noWrap w:val="0"/>
            <w:vAlign w:val="center"/>
          </w:tcPr>
          <w:p w14:paraId="75D7C13A">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rPr>
            </w:pPr>
            <w:r>
              <w:rPr>
                <w:rFonts w:hint="eastAsia" w:ascii="宋体" w:hAnsi="宋体" w:eastAsia="宋体" w:cs="宋体"/>
                <w:sz w:val="21"/>
                <w:szCs w:val="21"/>
              </w:rPr>
              <w:t>生物活性炭、膜处理</w:t>
            </w:r>
          </w:p>
        </w:tc>
      </w:tr>
      <w:tr w14:paraId="6545C8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jc w:val="center"/>
        </w:trPr>
        <w:tc>
          <w:tcPr>
            <w:tcW w:w="2023" w:type="dxa"/>
            <w:tcBorders>
              <w:top w:val="single" w:color="000000" w:sz="4" w:space="0"/>
              <w:bottom w:val="single" w:color="000000" w:sz="4" w:space="0"/>
              <w:right w:val="single" w:color="000000" w:sz="4" w:space="0"/>
            </w:tcBorders>
            <w:noWrap w:val="0"/>
            <w:vAlign w:val="center"/>
          </w:tcPr>
          <w:p w14:paraId="4329AD27">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细菌和病毒</w:t>
            </w:r>
          </w:p>
        </w:tc>
        <w:tc>
          <w:tcPr>
            <w:tcW w:w="6481" w:type="dxa"/>
            <w:tcBorders>
              <w:top w:val="single" w:color="000000" w:sz="4" w:space="0"/>
              <w:left w:val="single" w:color="000000" w:sz="4" w:space="0"/>
              <w:bottom w:val="single" w:color="000000" w:sz="4" w:space="0"/>
            </w:tcBorders>
            <w:noWrap w:val="0"/>
            <w:vAlign w:val="center"/>
          </w:tcPr>
          <w:p w14:paraId="31E373FD">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26"/>
                <w:sz w:val="21"/>
                <w:szCs w:val="21"/>
                <w:lang w:eastAsia="zh-CN"/>
              </w:rPr>
              <w:t>过滤</w:t>
            </w:r>
            <w:r>
              <w:rPr>
                <w:rFonts w:hint="eastAsia" w:ascii="宋体" w:hAnsi="宋体" w:eastAsia="宋体" w:cs="宋体"/>
                <w:spacing w:val="-25"/>
                <w:sz w:val="21"/>
                <w:szCs w:val="21"/>
                <w:lang w:eastAsia="zh-CN"/>
              </w:rPr>
              <w:t>（</w:t>
            </w:r>
            <w:r>
              <w:rPr>
                <w:rFonts w:hint="eastAsia" w:ascii="宋体" w:hAnsi="宋体" w:eastAsia="宋体" w:cs="宋体"/>
                <w:spacing w:val="-27"/>
                <w:sz w:val="21"/>
                <w:szCs w:val="21"/>
                <w:lang w:eastAsia="zh-CN"/>
              </w:rPr>
              <w:t>部分去除）；</w:t>
            </w:r>
            <w:r>
              <w:rPr>
                <w:rFonts w:hint="eastAsia" w:ascii="宋体" w:hAnsi="宋体" w:eastAsia="宋体" w:cs="宋体"/>
                <w:spacing w:val="-26"/>
                <w:sz w:val="21"/>
                <w:szCs w:val="21"/>
                <w:lang w:eastAsia="zh-CN"/>
              </w:rPr>
              <w:t>消毒处理：氯、二氧化氯、臭氧、膜处理、紫外消毒</w:t>
            </w:r>
          </w:p>
        </w:tc>
      </w:tr>
      <w:tr w14:paraId="6055C7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0" w:hRule="atLeast"/>
          <w:jc w:val="center"/>
        </w:trPr>
        <w:tc>
          <w:tcPr>
            <w:tcW w:w="2023" w:type="dxa"/>
            <w:tcBorders>
              <w:top w:val="single" w:color="000000" w:sz="4" w:space="0"/>
              <w:bottom w:val="single" w:color="000000" w:sz="4" w:space="0"/>
              <w:right w:val="single" w:color="000000" w:sz="4" w:space="0"/>
            </w:tcBorders>
            <w:noWrap w:val="0"/>
            <w:vAlign w:val="center"/>
          </w:tcPr>
          <w:p w14:paraId="37E064A6">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汞、铬等部分重金属</w:t>
            </w:r>
          </w:p>
          <w:p w14:paraId="7BEA8D36">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（应急状态）</w:t>
            </w:r>
          </w:p>
        </w:tc>
        <w:tc>
          <w:tcPr>
            <w:tcW w:w="6481" w:type="dxa"/>
            <w:tcBorders>
              <w:top w:val="single" w:color="000000" w:sz="4" w:space="0"/>
              <w:left w:val="single" w:color="000000" w:sz="4" w:space="0"/>
              <w:bottom w:val="single" w:color="000000" w:sz="4" w:space="0"/>
            </w:tcBorders>
            <w:noWrap w:val="0"/>
            <w:vAlign w:val="center"/>
          </w:tcPr>
          <w:p w14:paraId="7296D43B">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氧化法：高锰酸钾；生物活性炭吸附（部分去除）</w:t>
            </w:r>
          </w:p>
        </w:tc>
      </w:tr>
      <w:tr w14:paraId="0C2EE4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0" w:hRule="atLeast"/>
          <w:jc w:val="center"/>
        </w:trPr>
        <w:tc>
          <w:tcPr>
            <w:tcW w:w="2023" w:type="dxa"/>
            <w:tcBorders>
              <w:top w:val="single" w:color="000000" w:sz="4" w:space="0"/>
              <w:right w:val="single" w:color="000000" w:sz="4" w:space="0"/>
            </w:tcBorders>
            <w:noWrap w:val="0"/>
            <w:vAlign w:val="center"/>
          </w:tcPr>
          <w:p w14:paraId="292E7AD7">
            <w:pPr>
              <w:pStyle w:val="30"/>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eastAsia" w:ascii="宋体" w:hAnsi="宋体" w:eastAsia="宋体" w:cs="宋体"/>
                <w:sz w:val="21"/>
                <w:szCs w:val="21"/>
              </w:rPr>
            </w:pPr>
            <w:r>
              <w:rPr>
                <w:rFonts w:hint="eastAsia" w:ascii="宋体" w:hAnsi="宋体" w:eastAsia="宋体" w:cs="宋体"/>
                <w:sz w:val="21"/>
                <w:szCs w:val="21"/>
              </w:rPr>
              <w:t>藻类及藻毒素</w:t>
            </w:r>
          </w:p>
        </w:tc>
        <w:tc>
          <w:tcPr>
            <w:tcW w:w="6481" w:type="dxa"/>
            <w:tcBorders>
              <w:top w:val="single" w:color="000000" w:sz="4" w:space="0"/>
              <w:left w:val="single" w:color="000000" w:sz="4" w:space="0"/>
            </w:tcBorders>
            <w:noWrap w:val="0"/>
            <w:vAlign w:val="center"/>
          </w:tcPr>
          <w:p w14:paraId="28F1B5FE">
            <w:pPr>
              <w:pStyle w:val="30"/>
              <w:keepNext w:val="0"/>
              <w:keepLines w:val="0"/>
              <w:pageBreakBefore w:val="0"/>
              <w:widowControl w:val="0"/>
              <w:kinsoku/>
              <w:wordWrap/>
              <w:overflowPunct/>
              <w:topLinePunct w:val="0"/>
              <w:autoSpaceDE w:val="0"/>
              <w:autoSpaceDN w:val="0"/>
              <w:bidi w:val="0"/>
              <w:adjustRightInd/>
              <w:snapToGrid/>
              <w:spacing w:line="240" w:lineRule="atLeast"/>
              <w:textAlignment w:val="auto"/>
              <w:rPr>
                <w:rFonts w:hint="eastAsia" w:ascii="宋体" w:hAnsi="宋体" w:eastAsia="宋体" w:cs="宋体"/>
                <w:sz w:val="21"/>
                <w:szCs w:val="21"/>
                <w:lang w:eastAsia="zh-CN"/>
              </w:rPr>
            </w:pPr>
            <w:r>
              <w:rPr>
                <w:rFonts w:hint="eastAsia" w:ascii="宋体" w:hAnsi="宋体" w:eastAsia="宋体" w:cs="宋体"/>
                <w:spacing w:val="-14"/>
                <w:sz w:val="21"/>
                <w:szCs w:val="21"/>
                <w:lang w:eastAsia="zh-CN"/>
              </w:rPr>
              <w:t>化学氧化预处理：除藻剂法、高锰酸钾、氯；微滤法；气浮法；臭氧氧化法</w:t>
            </w:r>
          </w:p>
        </w:tc>
      </w:tr>
    </w:tbl>
    <w:p w14:paraId="03413014">
      <w:pPr>
        <w:pStyle w:val="5"/>
        <w:keepNext/>
        <w:keepLines/>
        <w:pageBreakBefore w:val="0"/>
        <w:widowControl w:val="0"/>
        <w:kinsoku/>
        <w:wordWrap/>
        <w:overflowPunct/>
        <w:topLinePunct w:val="0"/>
        <w:autoSpaceDE/>
        <w:autoSpaceDN/>
        <w:bidi w:val="0"/>
        <w:adjustRightInd/>
        <w:snapToGrid/>
        <w:spacing w:before="0" w:after="0" w:line="360" w:lineRule="auto"/>
        <w:ind w:firstLine="562" w:firstLineChars="200"/>
        <w:jc w:val="left"/>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4.7.2 供水安全保障</w:t>
      </w:r>
      <w:bookmarkStart w:id="84" w:name="_Toc4905"/>
    </w:p>
    <w:p w14:paraId="72515D7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出现水源地突发环境事件，应急供水保障组应根据污染物的种类、浓度、可能影响取水口的时间等，及时采取深度处理、低压供水或启动备用水源等应急措施，并加强污染物监测，待水质满足取水要求时恢复取水和供水。无备用水源的，应使用应急供水车等设施保障居民用水。</w:t>
      </w:r>
    </w:p>
    <w:p w14:paraId="2E65E354">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85" w:name="_Toc186125033"/>
      <w:bookmarkStart w:id="86" w:name="_Toc186123045"/>
      <w:bookmarkStart w:id="87" w:name="_Toc16092"/>
      <w:bookmarkStart w:id="88" w:name="_Toc186124198"/>
      <w:bookmarkStart w:id="89" w:name="_Toc186122740"/>
      <w:r>
        <w:rPr>
          <w:rFonts w:hint="eastAsia" w:ascii="宋体" w:hAnsi="宋体" w:eastAsia="宋体" w:cs="宋体"/>
          <w:b/>
          <w:bCs/>
          <w:color w:val="000000"/>
          <w:sz w:val="28"/>
          <w:szCs w:val="28"/>
          <w:lang w:val="en-US" w:eastAsia="zh-CN"/>
        </w:rPr>
        <w:t>4.8 物资调集及应急设施启用</w:t>
      </w:r>
      <w:bookmarkEnd w:id="84"/>
      <w:bookmarkEnd w:id="85"/>
      <w:bookmarkEnd w:id="86"/>
      <w:bookmarkEnd w:id="87"/>
      <w:bookmarkEnd w:id="88"/>
      <w:bookmarkEnd w:id="89"/>
    </w:p>
    <w:p w14:paraId="2A2A0E8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应急物资、装备</w:t>
      </w:r>
      <w:r>
        <w:rPr>
          <w:rFonts w:hint="eastAsia" w:cs="宋体"/>
          <w:color w:val="auto"/>
          <w:sz w:val="28"/>
          <w:szCs w:val="28"/>
          <w:lang w:val="en-US" w:eastAsia="zh-CN"/>
        </w:rPr>
        <w:t>在突发环境事件发生时</w:t>
      </w:r>
      <w:r>
        <w:rPr>
          <w:rFonts w:hint="eastAsia" w:ascii="宋体" w:hAnsi="宋体" w:eastAsia="宋体" w:cs="宋体"/>
          <w:color w:val="auto"/>
          <w:sz w:val="28"/>
          <w:szCs w:val="28"/>
          <w:lang w:val="en-US" w:eastAsia="zh-CN"/>
        </w:rPr>
        <w:t>由综合协调组进行统一协调调配。</w:t>
      </w:r>
      <w:bookmarkStart w:id="185" w:name="_GoBack"/>
      <w:bookmarkEnd w:id="185"/>
    </w:p>
    <w:p w14:paraId="2D42DE75">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90" w:name="_Toc186122741"/>
      <w:bookmarkStart w:id="91" w:name="_Toc31212"/>
      <w:bookmarkStart w:id="92" w:name="_Toc25284"/>
      <w:bookmarkStart w:id="93" w:name="_Toc186123046"/>
      <w:bookmarkStart w:id="94" w:name="_Toc186125034"/>
      <w:bookmarkStart w:id="95" w:name="_Toc186124199"/>
      <w:r>
        <w:rPr>
          <w:rFonts w:hint="eastAsia" w:ascii="宋体" w:hAnsi="宋体" w:eastAsia="宋体" w:cs="宋体"/>
          <w:b/>
          <w:bCs/>
          <w:color w:val="000000"/>
          <w:sz w:val="28"/>
          <w:szCs w:val="28"/>
          <w:lang w:val="en-US" w:eastAsia="zh-CN"/>
        </w:rPr>
        <w:t>4.9 舆情监测与信息发布</w:t>
      </w:r>
      <w:bookmarkEnd w:id="90"/>
      <w:bookmarkEnd w:id="91"/>
      <w:bookmarkEnd w:id="92"/>
      <w:bookmarkEnd w:id="93"/>
      <w:bookmarkEnd w:id="94"/>
      <w:bookmarkEnd w:id="95"/>
    </w:p>
    <w:p w14:paraId="2F6B5EC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综合协调组负责及时按规定通过新闻媒体发布饮用水水源地突发污染事件处置的相关信息，监控、引导社会舆情。现场应急指挥部在突发环境事件发生后，应第一时间通过政府发布新闻通稿、举行新闻发布会等多种形式，借助电视、广播、报纸、网络等多种途径，运用微博、微信、移动客户端等新媒体平台，主动、及时、准确、客观地向社会发布突发环境事件有关信息，回应社会关切，澄清不实信息，正确引导社会舆论。发布内容包括事件原因、影响区域、已采取的措施及成效、公众应注意的防范措施、热线电话等。</w:t>
      </w:r>
    </w:p>
    <w:p w14:paraId="24DA5B98">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96" w:name="_Toc186124200"/>
      <w:bookmarkStart w:id="97" w:name="_Toc19502"/>
      <w:bookmarkStart w:id="98" w:name="_Toc186122742"/>
      <w:bookmarkStart w:id="99" w:name="_Toc186123047"/>
      <w:bookmarkStart w:id="100" w:name="_Toc1903"/>
      <w:bookmarkStart w:id="101" w:name="_Toc186125035"/>
      <w:r>
        <w:rPr>
          <w:rFonts w:hint="eastAsia" w:ascii="宋体" w:hAnsi="宋体" w:eastAsia="宋体" w:cs="宋体"/>
          <w:b/>
          <w:bCs/>
          <w:color w:val="000000"/>
          <w:sz w:val="28"/>
          <w:szCs w:val="28"/>
          <w:lang w:val="en-US" w:eastAsia="zh-CN"/>
        </w:rPr>
        <w:t>4.10 响应终止</w:t>
      </w:r>
      <w:bookmarkEnd w:id="96"/>
      <w:bookmarkEnd w:id="97"/>
      <w:bookmarkEnd w:id="98"/>
      <w:bookmarkEnd w:id="99"/>
      <w:bookmarkEnd w:id="100"/>
      <w:bookmarkEnd w:id="101"/>
    </w:p>
    <w:p w14:paraId="390385E8">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符合下列情形之一的，可终止应急响应。</w:t>
      </w:r>
    </w:p>
    <w:p w14:paraId="76DCDB4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（1）进入水源保护区陆域范围的污染物已成功围堵，且清运至水源保护区外，未向水域扩散时；</w:t>
      </w:r>
    </w:p>
    <w:p w14:paraId="2A5F503C">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（2）进入水源保护区水域范围的</w:t>
      </w:r>
      <w:r>
        <w:rPr>
          <w:rFonts w:hint="eastAsia" w:cs="宋体"/>
          <w:color w:val="auto"/>
          <w:sz w:val="28"/>
          <w:szCs w:val="28"/>
          <w:lang w:val="en-US" w:eastAsia="zh-CN"/>
        </w:rPr>
        <w:t>污染源</w:t>
      </w:r>
      <w:r>
        <w:rPr>
          <w:rFonts w:hint="eastAsia" w:ascii="宋体" w:hAnsi="宋体" w:eastAsia="宋体" w:cs="宋体"/>
          <w:color w:val="auto"/>
          <w:sz w:val="28"/>
          <w:szCs w:val="28"/>
          <w:lang w:val="en-US" w:eastAsia="zh-CN"/>
        </w:rPr>
        <w:t>已成功拦截或导流至水源保护区外，没有向取水口扩散的风险，且水质监测结果稳定达标；</w:t>
      </w:r>
    </w:p>
    <w:p w14:paraId="0F32D40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（3）水质监测结果尚未稳定达标，但根据应急专家组建议可以恢复正常</w:t>
      </w:r>
      <w:r>
        <w:rPr>
          <w:rFonts w:hint="eastAsia" w:cs="宋体"/>
          <w:color w:val="auto"/>
          <w:sz w:val="28"/>
          <w:szCs w:val="28"/>
          <w:lang w:val="en-US" w:eastAsia="zh-CN"/>
        </w:rPr>
        <w:t>取水</w:t>
      </w:r>
      <w:r>
        <w:rPr>
          <w:rFonts w:hint="eastAsia" w:ascii="宋体" w:hAnsi="宋体" w:eastAsia="宋体" w:cs="宋体"/>
          <w:color w:val="auto"/>
          <w:sz w:val="28"/>
          <w:szCs w:val="28"/>
          <w:lang w:val="en-US" w:eastAsia="zh-CN"/>
        </w:rPr>
        <w:t>。</w:t>
      </w:r>
    </w:p>
    <w:p w14:paraId="6F65448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由专家组进行综合评估，在符合解除应急响应的条件后，提出响应终止的建议，由区指挥部批准同意响应终止。</w:t>
      </w:r>
    </w:p>
    <w:p w14:paraId="7E61F01F">
      <w:pPr>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br w:type="page"/>
      </w:r>
    </w:p>
    <w:p w14:paraId="115977B7">
      <w:pPr>
        <w:pStyle w:val="15"/>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9"/>
          <w:rFonts w:hint="default" w:ascii="宋体" w:hAnsi="宋体" w:eastAsia="宋体" w:cs="宋体"/>
          <w:b/>
          <w:bCs/>
          <w:color w:val="000000"/>
          <w:sz w:val="32"/>
          <w:szCs w:val="32"/>
          <w:lang w:val="en-US" w:eastAsia="zh-CN"/>
        </w:rPr>
      </w:pPr>
      <w:bookmarkStart w:id="102" w:name="_Toc186124984"/>
      <w:bookmarkStart w:id="103" w:name="_Toc186124159"/>
      <w:bookmarkStart w:id="104" w:name="_Toc31622"/>
      <w:r>
        <w:rPr>
          <w:rStyle w:val="19"/>
          <w:rFonts w:hint="eastAsia" w:cs="宋体"/>
          <w:b/>
          <w:bCs/>
          <w:color w:val="000000"/>
          <w:sz w:val="32"/>
          <w:szCs w:val="32"/>
          <w:lang w:val="en-US" w:eastAsia="zh-CN"/>
        </w:rPr>
        <w:t>5</w:t>
      </w:r>
      <w:r>
        <w:rPr>
          <w:rStyle w:val="19"/>
          <w:rFonts w:hint="eastAsia" w:ascii="宋体" w:hAnsi="宋体" w:eastAsia="宋体" w:cs="宋体"/>
          <w:b/>
          <w:bCs/>
          <w:color w:val="000000"/>
          <w:sz w:val="32"/>
          <w:szCs w:val="32"/>
          <w:lang w:val="en-US" w:eastAsia="zh-CN"/>
        </w:rPr>
        <w:t xml:space="preserve"> </w:t>
      </w:r>
      <w:bookmarkEnd w:id="102"/>
      <w:bookmarkEnd w:id="103"/>
      <w:r>
        <w:rPr>
          <w:rStyle w:val="19"/>
          <w:rFonts w:hint="eastAsia" w:cs="宋体"/>
          <w:b/>
          <w:bCs/>
          <w:color w:val="000000"/>
          <w:sz w:val="32"/>
          <w:szCs w:val="32"/>
          <w:lang w:val="en-US" w:eastAsia="zh-CN"/>
        </w:rPr>
        <w:t>后期工作</w:t>
      </w:r>
      <w:bookmarkEnd w:id="104"/>
    </w:p>
    <w:p w14:paraId="5D44D45A">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05" w:name="_Toc10713"/>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.1 后期防控</w:t>
      </w:r>
      <w:bookmarkEnd w:id="105"/>
      <w:bookmarkStart w:id="106" w:name="_Toc27647"/>
    </w:p>
    <w:p w14:paraId="067C7A6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后期防控主要包括：</w:t>
      </w:r>
    </w:p>
    <w:p w14:paraId="013EA244">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（1）油品、化学品污染环境净化和消洗</w:t>
      </w:r>
    </w:p>
    <w:p w14:paraId="722EFF1F">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油品、化学品能重新利用的则应回收再利用；不能重新利用的，可交有资质的单位处置；农药等毒性物质尽可能交与有资质的危险废物处理的单位净化处置。把消防毒剂水溶液装于消防车水罐，经消防泵加压后，通过水带、水枪以开花或喷雾水流喷洒。用吸附垫、活性炭等具有吸附能力的物质，吸附回收后转移委托有资质的单位处置，也可用喷射雾状水进行稀释降毒。受污染水体抽吸进入活性炭设施，净化处理达标后排入污水处理站，废弃活性炭委托有资质的单位处置。</w:t>
      </w:r>
    </w:p>
    <w:p w14:paraId="11B28705">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（2）被油品、化学品污染的河道或水库岸线</w:t>
      </w:r>
    </w:p>
    <w:p w14:paraId="52E8A98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对污染产生的死鱼、动物等进行打捞收集，并依法依规消毒填埋处理；</w:t>
      </w:r>
      <w:r>
        <w:rPr>
          <w:rFonts w:hint="eastAsia" w:cs="宋体"/>
          <w:color w:val="auto"/>
          <w:sz w:val="28"/>
          <w:szCs w:val="28"/>
          <w:lang w:val="en-US" w:eastAsia="zh-CN"/>
        </w:rPr>
        <w:t>使用</w:t>
      </w:r>
      <w:r>
        <w:rPr>
          <w:rFonts w:hint="eastAsia" w:ascii="宋体" w:hAnsi="宋体" w:eastAsia="宋体" w:cs="宋体"/>
          <w:color w:val="auto"/>
          <w:sz w:val="28"/>
          <w:szCs w:val="28"/>
          <w:lang w:val="en-US" w:eastAsia="zh-CN"/>
        </w:rPr>
        <w:t>消油剂或吸附剂进行消除；使用刷子或吸尘器除去颗粒性污染物，或使用简单工具收集被污染沙石至容器内，按危险固废处置。</w:t>
      </w:r>
    </w:p>
    <w:p w14:paraId="0ED746F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（3）被污染的土壤</w:t>
      </w:r>
    </w:p>
    <w:p w14:paraId="2B51828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使用简单工具将表层剥离装入容器，并委托具备处理资质的单位净化处置；若环境不允许挖掘或清除大量土壤时，可使用物理、化学或生物方法消除。</w:t>
      </w:r>
    </w:p>
    <w:p w14:paraId="4784C2C7">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（4）清理的藻类</w:t>
      </w:r>
    </w:p>
    <w:p w14:paraId="50F63AA6">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藻类捕捞后运送到保护区外指定场所堆放，并采用沼气发生池、搅拌发酵、除臭分解等无害化处理手段，使之成为可利用的能源或有机肥料。</w:t>
      </w:r>
    </w:p>
    <w:p w14:paraId="0D56C8F3">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07" w:name="_Toc7612"/>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.2 事件调查</w:t>
      </w:r>
      <w:bookmarkEnd w:id="106"/>
      <w:bookmarkEnd w:id="107"/>
      <w:bookmarkStart w:id="108" w:name="_Toc7881"/>
    </w:p>
    <w:p w14:paraId="2E72AB0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根据事件调查的有关规定</w:t>
      </w:r>
      <w:r>
        <w:rPr>
          <w:rFonts w:hint="eastAsia" w:cs="宋体"/>
          <w:color w:val="auto"/>
          <w:sz w:val="28"/>
          <w:szCs w:val="28"/>
          <w:lang w:val="en-US" w:eastAsia="zh-CN"/>
        </w:rPr>
        <w:t>白鹤街道应协助开展事件调查</w:t>
      </w:r>
      <w:r>
        <w:rPr>
          <w:rFonts w:hint="eastAsia" w:ascii="宋体" w:hAnsi="宋体" w:eastAsia="宋体" w:cs="宋体"/>
          <w:color w:val="auto"/>
          <w:sz w:val="28"/>
          <w:szCs w:val="28"/>
          <w:lang w:val="en-US" w:eastAsia="zh-CN"/>
        </w:rPr>
        <w:t>，一般或较大环境事件应由区生态环境局牵头，有关部门配合，组织开展事件调查，查明事件原因和性质，提出整改防范措施和处理建议。相关单位或企业应积极整改，并形成整改反馈报告。重大或特别重大事件由市政府或市政府指定部门组织调查。</w:t>
      </w:r>
    </w:p>
    <w:p w14:paraId="3A866242">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09" w:name="_Toc27055"/>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.3 损害评估</w:t>
      </w:r>
      <w:bookmarkEnd w:id="108"/>
      <w:bookmarkEnd w:id="109"/>
      <w:bookmarkStart w:id="110" w:name="_Toc24184"/>
    </w:p>
    <w:p w14:paraId="65979E5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根据有关规定，</w:t>
      </w:r>
      <w:r>
        <w:rPr>
          <w:rFonts w:hint="eastAsia" w:cs="宋体"/>
          <w:color w:val="auto"/>
          <w:sz w:val="28"/>
          <w:szCs w:val="28"/>
          <w:lang w:val="en-US" w:eastAsia="zh-CN"/>
        </w:rPr>
        <w:t>白鹤街道</w:t>
      </w:r>
      <w:r>
        <w:rPr>
          <w:rFonts w:hint="eastAsia" w:ascii="宋体" w:hAnsi="宋体" w:eastAsia="宋体" w:cs="宋体"/>
          <w:color w:val="auto"/>
          <w:sz w:val="28"/>
          <w:szCs w:val="28"/>
          <w:lang w:val="en-US" w:eastAsia="zh-CN"/>
        </w:rPr>
        <w:t>督促造成水源地突发环境事件及污染的个人或单位及时组织开展污染损害评估，并将经评审后的评估结果向社会公布。若造成水源地突发环境事件及污染的个人或单位不明确，应由</w:t>
      </w:r>
      <w:r>
        <w:rPr>
          <w:rFonts w:hint="eastAsia" w:cs="宋体"/>
          <w:color w:val="auto"/>
          <w:sz w:val="28"/>
          <w:szCs w:val="28"/>
          <w:lang w:val="en-US" w:eastAsia="zh-CN"/>
        </w:rPr>
        <w:t>白鹤街道</w:t>
      </w:r>
      <w:r>
        <w:rPr>
          <w:rFonts w:hint="eastAsia" w:ascii="宋体" w:hAnsi="宋体" w:eastAsia="宋体" w:cs="宋体"/>
          <w:color w:val="auto"/>
          <w:sz w:val="28"/>
          <w:szCs w:val="28"/>
          <w:lang w:val="en-US" w:eastAsia="zh-CN"/>
        </w:rPr>
        <w:t>组织开展污染损害评估，并将经评审后的评估结果向社会公布。</w:t>
      </w:r>
    </w:p>
    <w:p w14:paraId="5F202DD6">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11" w:name="_Toc25196"/>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lang w:val="en-US" w:eastAsia="zh-CN"/>
        </w:rPr>
        <w:t>.4 善后处置</w:t>
      </w:r>
      <w:bookmarkEnd w:id="110"/>
      <w:bookmarkEnd w:id="111"/>
    </w:p>
    <w:p w14:paraId="0C323CB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由白鹤街道督促肇事单位按照政策规定，对事故伤亡人员给予赔付救治，对伤者及伤亡人员家属进行精神安抚；相关部门按照各自职责进行指导。按照国家规定组织制定补助、补偿、抚慰、抚恤、安置和环境恢复等善后工作方案，并按照法定程序实施。对紧急征用的物资和调集的社会力量按照有关规定予以结算和补偿。保险机构及时开展相关理赔工作。肇事单位必须对风险隐患进行整改，防止风险源再次引发水污染事件，对涉及的污染场地进行修复，满足相关要求，并对造成社会损害的进行依法赔偿。</w:t>
      </w:r>
      <w:r>
        <w:rPr>
          <w:rFonts w:hint="eastAsia" w:ascii="宋体" w:hAnsi="宋体" w:eastAsia="宋体" w:cs="宋体"/>
          <w:color w:val="auto"/>
          <w:sz w:val="28"/>
          <w:szCs w:val="28"/>
          <w:lang w:val="en-US" w:eastAsia="zh-CN"/>
        </w:rPr>
        <w:br w:type="page"/>
      </w:r>
    </w:p>
    <w:p w14:paraId="60947A41">
      <w:pPr>
        <w:pStyle w:val="15"/>
        <w:keepNext w:val="0"/>
        <w:keepLines w:val="0"/>
        <w:pageBreakBefore w:val="0"/>
        <w:widowControl/>
        <w:kinsoku/>
        <w:wordWrap/>
        <w:overflowPunct/>
        <w:topLinePunct w:val="0"/>
        <w:autoSpaceDE/>
        <w:autoSpaceDN/>
        <w:bidi w:val="0"/>
        <w:adjustRightInd w:val="0"/>
        <w:snapToGrid/>
        <w:spacing w:beforeAutospacing="0" w:line="360" w:lineRule="auto"/>
        <w:ind w:firstLine="0" w:firstLineChars="0"/>
        <w:jc w:val="center"/>
        <w:textAlignment w:val="auto"/>
        <w:outlineLvl w:val="0"/>
        <w:rPr>
          <w:rStyle w:val="19"/>
          <w:rFonts w:hint="eastAsia" w:ascii="宋体" w:hAnsi="宋体" w:eastAsia="宋体" w:cs="宋体"/>
          <w:b/>
          <w:bCs/>
          <w:color w:val="000000"/>
          <w:sz w:val="32"/>
          <w:szCs w:val="32"/>
          <w:lang w:val="en-US" w:eastAsia="zh-CN"/>
        </w:rPr>
      </w:pPr>
      <w:bookmarkStart w:id="112" w:name="_Toc186124990"/>
      <w:bookmarkStart w:id="113" w:name="_Toc10277"/>
      <w:bookmarkStart w:id="114" w:name="_Toc186124165"/>
      <w:r>
        <w:rPr>
          <w:rStyle w:val="19"/>
          <w:rFonts w:hint="eastAsia" w:cs="宋体"/>
          <w:b/>
          <w:bCs/>
          <w:color w:val="000000"/>
          <w:sz w:val="32"/>
          <w:szCs w:val="32"/>
          <w:lang w:val="en-US" w:eastAsia="zh-CN"/>
        </w:rPr>
        <w:t>6</w:t>
      </w:r>
      <w:r>
        <w:rPr>
          <w:rStyle w:val="19"/>
          <w:rFonts w:hint="eastAsia" w:ascii="宋体" w:hAnsi="宋体" w:eastAsia="宋体" w:cs="宋体"/>
          <w:b/>
          <w:bCs/>
          <w:color w:val="000000"/>
          <w:sz w:val="32"/>
          <w:szCs w:val="32"/>
          <w:lang w:val="en-US" w:eastAsia="zh-CN"/>
        </w:rPr>
        <w:t xml:space="preserve"> 应急保障</w:t>
      </w:r>
      <w:bookmarkEnd w:id="112"/>
      <w:bookmarkEnd w:id="113"/>
      <w:bookmarkEnd w:id="114"/>
    </w:p>
    <w:p w14:paraId="7A5AB97C">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15" w:name="_Toc186124166"/>
      <w:bookmarkStart w:id="116" w:name="_Toc186124991"/>
      <w:bookmarkStart w:id="117" w:name="_Toc13854"/>
      <w:bookmarkStart w:id="118" w:name="_Toc186123003"/>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.1 队伍保障</w:t>
      </w:r>
      <w:bookmarkEnd w:id="115"/>
      <w:bookmarkEnd w:id="116"/>
      <w:bookmarkEnd w:id="117"/>
      <w:bookmarkEnd w:id="118"/>
    </w:p>
    <w:p w14:paraId="1172889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白鹤街道办事处</w:t>
      </w:r>
      <w:r>
        <w:rPr>
          <w:rFonts w:hint="eastAsia" w:ascii="宋体" w:hAnsi="宋体" w:eastAsia="宋体" w:cs="宋体"/>
          <w:color w:val="auto"/>
          <w:sz w:val="28"/>
          <w:szCs w:val="28"/>
          <w:lang w:val="en-US" w:eastAsia="zh-CN"/>
        </w:rPr>
        <w:t>有关部门和单位要加强环境应急救援队伍能力建设。环境监测队伍、消防救援队伍、大型国有骨干企业应急救援队伍及其他相关方面应急救援队伍，要积极参加突发环境事件的应急监测、应急处置、调查处理等工作，提高响应能力和应对能力。要加强环境应急专家队伍管理，为制定突发环境事件应急处置方案、评估污染损害、开展调查处理等工作提供决策建议。</w:t>
      </w:r>
    </w:p>
    <w:p w14:paraId="2A22CD8C">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19" w:name="_Toc25080"/>
      <w:bookmarkStart w:id="120" w:name="_Toc186123004"/>
      <w:bookmarkStart w:id="121" w:name="_Toc186124167"/>
      <w:bookmarkStart w:id="122" w:name="_Toc186124992"/>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.2 物资、装备与资金保障</w:t>
      </w:r>
      <w:bookmarkEnd w:id="119"/>
      <w:bookmarkEnd w:id="120"/>
      <w:bookmarkEnd w:id="121"/>
      <w:bookmarkEnd w:id="122"/>
    </w:p>
    <w:p w14:paraId="6205B2A3">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白鹤街道办事处</w:t>
      </w:r>
      <w:r>
        <w:rPr>
          <w:rFonts w:hint="eastAsia" w:ascii="宋体" w:hAnsi="宋体" w:eastAsia="宋体" w:cs="宋体"/>
          <w:color w:val="auto"/>
          <w:sz w:val="28"/>
          <w:szCs w:val="28"/>
          <w:lang w:val="en-US" w:eastAsia="zh-CN"/>
        </w:rPr>
        <w:t>有关部门和有关单位要结合辖区内环境风险特征，分级、分类储备污染源切断、污染物控制、污染物收集、污染物降解、安全防护、应急通信和指挥以及应急监测等物资装备，鼓励支持社会化应急储备，保障应急装备、应急物资、生活必需品的生产、存储、调拨、供给。要加强对环境应急装备和物资储备的动态管理，将环境应急物资储备统筹纳入应急物资库建设。区财政局要保障突发环境事件应对工作所需必要经费。</w:t>
      </w:r>
    </w:p>
    <w:p w14:paraId="73D5B224">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23" w:name="_Toc17286"/>
      <w:bookmarkStart w:id="124" w:name="_Toc186124993"/>
      <w:bookmarkStart w:id="125" w:name="_Toc186124168"/>
      <w:bookmarkStart w:id="126" w:name="_Toc186123005"/>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.3 通信、交通与运输保障</w:t>
      </w:r>
      <w:bookmarkEnd w:id="123"/>
      <w:bookmarkEnd w:id="124"/>
      <w:bookmarkEnd w:id="125"/>
      <w:bookmarkEnd w:id="126"/>
    </w:p>
    <w:p w14:paraId="08866261">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白鹤街道办事处</w:t>
      </w:r>
      <w:r>
        <w:rPr>
          <w:rFonts w:hint="eastAsia" w:ascii="宋体" w:hAnsi="宋体" w:eastAsia="宋体" w:cs="宋体"/>
          <w:color w:val="auto"/>
          <w:sz w:val="28"/>
          <w:szCs w:val="28"/>
          <w:lang w:val="en-US" w:eastAsia="zh-CN"/>
        </w:rPr>
        <w:t>要建立健全突发环境事件应急通信保障体系，确保应急期间通信联络和信息传递需要。</w:t>
      </w:r>
    </w:p>
    <w:p w14:paraId="662A5C4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白鹤街道办事处协助</w:t>
      </w:r>
      <w:r>
        <w:rPr>
          <w:rFonts w:hint="eastAsia" w:ascii="宋体" w:hAnsi="宋体" w:eastAsia="宋体" w:cs="宋体"/>
          <w:color w:val="auto"/>
          <w:sz w:val="28"/>
          <w:szCs w:val="28"/>
          <w:lang w:val="en-US" w:eastAsia="zh-CN"/>
        </w:rPr>
        <w:t>区交通运输委要健全公路、水运、铁路紧急运输保障体系，保障应急响应所需人员、物资、装备、器材等的运输。</w:t>
      </w:r>
    </w:p>
    <w:p w14:paraId="1166F4E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白鹤街道办事处协助</w:t>
      </w:r>
      <w:r>
        <w:rPr>
          <w:rFonts w:hint="eastAsia" w:ascii="宋体" w:hAnsi="宋体" w:eastAsia="宋体" w:cs="宋体"/>
          <w:color w:val="auto"/>
          <w:sz w:val="28"/>
          <w:szCs w:val="28"/>
          <w:lang w:val="en-US" w:eastAsia="zh-CN"/>
        </w:rPr>
        <w:t>区</w:t>
      </w:r>
      <w:r>
        <w:rPr>
          <w:rFonts w:hint="eastAsia" w:cs="宋体"/>
          <w:color w:val="auto"/>
          <w:sz w:val="28"/>
          <w:szCs w:val="28"/>
          <w:lang w:val="en-US" w:eastAsia="zh-CN"/>
        </w:rPr>
        <w:t>公安局</w:t>
      </w:r>
      <w:r>
        <w:rPr>
          <w:rFonts w:hint="eastAsia" w:ascii="宋体" w:hAnsi="宋体" w:eastAsia="宋体" w:cs="宋体"/>
          <w:color w:val="auto"/>
          <w:sz w:val="28"/>
          <w:szCs w:val="28"/>
          <w:lang w:val="en-US" w:eastAsia="zh-CN"/>
        </w:rPr>
        <w:t>加强应急交通管理，保障运送伤病员、应急救援人员、物资、装备、器材车辆的优先通行。</w:t>
      </w:r>
    </w:p>
    <w:p w14:paraId="2D384DB5">
      <w:pPr>
        <w:pStyle w:val="4"/>
        <w:keepNext/>
        <w:keepLines/>
        <w:pageBreakBefore w:val="0"/>
        <w:widowControl/>
        <w:kinsoku/>
        <w:wordWrap/>
        <w:overflowPunct/>
        <w:topLinePunct w:val="0"/>
        <w:autoSpaceDE/>
        <w:autoSpaceDN/>
        <w:bidi w:val="0"/>
        <w:adjustRightInd/>
        <w:snapToGrid/>
        <w:spacing w:before="0" w:line="360" w:lineRule="auto"/>
        <w:ind w:firstLine="0" w:firstLineChars="0"/>
        <w:jc w:val="left"/>
        <w:textAlignment w:val="auto"/>
        <w:rPr>
          <w:rFonts w:hint="eastAsia" w:ascii="宋体" w:hAnsi="宋体" w:eastAsia="宋体" w:cs="宋体"/>
          <w:b/>
          <w:bCs/>
          <w:color w:val="000000"/>
          <w:sz w:val="28"/>
          <w:szCs w:val="28"/>
          <w:lang w:val="en-US" w:eastAsia="zh-CN"/>
        </w:rPr>
      </w:pPr>
      <w:bookmarkStart w:id="127" w:name="_Toc186124169"/>
      <w:bookmarkStart w:id="128" w:name="_Toc186123006"/>
      <w:bookmarkStart w:id="129" w:name="_Toc31802"/>
      <w:bookmarkStart w:id="130" w:name="_Toc186124994"/>
      <w:r>
        <w:rPr>
          <w:rFonts w:hint="eastAsia" w:ascii="宋体" w:hAnsi="宋体" w:cs="宋体"/>
          <w:b/>
          <w:bCs/>
          <w:color w:val="000000"/>
          <w:sz w:val="28"/>
          <w:szCs w:val="28"/>
          <w:lang w:val="en-US" w:eastAsia="zh-CN"/>
        </w:rPr>
        <w:t>6</w:t>
      </w:r>
      <w:r>
        <w:rPr>
          <w:rFonts w:hint="eastAsia" w:ascii="宋体" w:hAnsi="宋体" w:eastAsia="宋体" w:cs="宋体"/>
          <w:b/>
          <w:bCs/>
          <w:color w:val="000000"/>
          <w:sz w:val="28"/>
          <w:szCs w:val="28"/>
          <w:lang w:val="en-US" w:eastAsia="zh-CN"/>
        </w:rPr>
        <w:t>.4 技术保障</w:t>
      </w:r>
      <w:bookmarkEnd w:id="127"/>
      <w:bookmarkEnd w:id="128"/>
      <w:bookmarkEnd w:id="129"/>
      <w:bookmarkEnd w:id="130"/>
    </w:p>
    <w:p w14:paraId="4916E22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cs="宋体"/>
          <w:color w:val="auto"/>
          <w:sz w:val="28"/>
          <w:szCs w:val="28"/>
          <w:lang w:val="en-US" w:eastAsia="zh-CN"/>
        </w:rPr>
        <w:t>白鹤街道办事处</w:t>
      </w:r>
      <w:r>
        <w:rPr>
          <w:rFonts w:hint="eastAsia" w:ascii="宋体" w:hAnsi="宋体" w:eastAsia="宋体" w:cs="宋体"/>
          <w:color w:val="auto"/>
          <w:sz w:val="28"/>
          <w:szCs w:val="28"/>
          <w:lang w:val="en-US" w:eastAsia="zh-CN"/>
        </w:rPr>
        <w:t>要加强环境应急指挥系统的优化，依托环境应急指挥技术平台，实现信息综合集成、分析处理、污染损害评估的智能化和数字化。财政</w:t>
      </w:r>
      <w:r>
        <w:rPr>
          <w:rFonts w:hint="eastAsia" w:cs="宋体"/>
          <w:color w:val="auto"/>
          <w:sz w:val="28"/>
          <w:szCs w:val="28"/>
          <w:lang w:val="en-US" w:eastAsia="zh-CN"/>
        </w:rPr>
        <w:t>部门</w:t>
      </w:r>
      <w:r>
        <w:rPr>
          <w:rFonts w:hint="eastAsia" w:ascii="宋体" w:hAnsi="宋体" w:eastAsia="宋体" w:cs="宋体"/>
          <w:color w:val="auto"/>
          <w:sz w:val="28"/>
          <w:szCs w:val="28"/>
          <w:lang w:val="en-US" w:eastAsia="zh-CN"/>
        </w:rPr>
        <w:t>及相关部门要支持先进技术和装备的研发。同时，</w:t>
      </w:r>
      <w:r>
        <w:rPr>
          <w:rFonts w:hint="eastAsia" w:cs="宋体"/>
          <w:color w:val="auto"/>
          <w:sz w:val="28"/>
          <w:szCs w:val="28"/>
          <w:lang w:val="en-US" w:eastAsia="zh-CN"/>
        </w:rPr>
        <w:t>白鹤街道办事处应急</w:t>
      </w:r>
      <w:r>
        <w:rPr>
          <w:rFonts w:hint="eastAsia" w:ascii="宋体" w:hAnsi="宋体" w:eastAsia="宋体" w:cs="宋体"/>
          <w:color w:val="auto"/>
          <w:sz w:val="28"/>
          <w:szCs w:val="28"/>
          <w:lang w:val="en-US" w:eastAsia="zh-CN"/>
        </w:rPr>
        <w:t>指挥部各成员单位应当根据职责在部门应急预案中纳入预防引发环境污染事故及次生、衍生突发环境事件的有关内容，建立完善有关防范水环境污染的基本信息。主要包括：</w:t>
      </w:r>
    </w:p>
    <w:p w14:paraId="2A01F88E">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（1）流域水系河流数量和分布图，水文参数、水质现状、流域人口、饮用水源保护区等基本信息。</w:t>
      </w:r>
    </w:p>
    <w:p w14:paraId="2E53EBC0">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（2）工业和农业生产、使用、贮存、销售、运输的环境风险物质的种类、数量、贮存位置及防范措施。</w:t>
      </w:r>
    </w:p>
    <w:p w14:paraId="78FAD08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（3）工业、生活、畜禽养殖等污染源的排放、数量及分布情况。</w:t>
      </w:r>
    </w:p>
    <w:p w14:paraId="020802CB">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（4）要落实“找空间、定方案、抓演练”三个要素，编制流域“一河一策一图”环境应急响应方案，提前做好技术保</w:t>
      </w:r>
      <w:r>
        <w:rPr>
          <w:rFonts w:hint="eastAsia" w:cs="宋体"/>
          <w:color w:val="auto"/>
          <w:sz w:val="28"/>
          <w:szCs w:val="28"/>
          <w:lang w:val="en-US" w:eastAsia="zh-CN"/>
        </w:rPr>
        <w:t>障和</w:t>
      </w:r>
      <w:r>
        <w:rPr>
          <w:rFonts w:hint="eastAsia" w:ascii="宋体" w:hAnsi="宋体" w:eastAsia="宋体" w:cs="宋体"/>
          <w:color w:val="auto"/>
          <w:sz w:val="28"/>
          <w:szCs w:val="28"/>
          <w:lang w:val="en-US" w:eastAsia="zh-CN"/>
        </w:rPr>
        <w:t>应急准备。</w:t>
      </w:r>
    </w:p>
    <w:p w14:paraId="5FE310C9">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参与应急处置的有关单位要开展突发环境污染的污染分析、扩散模型和风险评估研究工作，完善各类应急预案，确保应急处置科学、规范、安全。</w:t>
      </w:r>
    </w:p>
    <w:p w14:paraId="392F4F12">
      <w:pPr>
        <w:rPr>
          <w:rFonts w:hint="default" w:ascii="宋体" w:hAnsi="宋体" w:eastAsia="宋体" w:cs="宋体"/>
          <w:color w:val="auto"/>
          <w:kern w:val="2"/>
          <w:sz w:val="28"/>
          <w:szCs w:val="28"/>
          <w:lang w:val="en-US" w:eastAsia="zh-CN" w:bidi="ar-SA"/>
        </w:rPr>
      </w:pPr>
      <w:r>
        <w:rPr>
          <w:rFonts w:hint="default" w:ascii="宋体" w:hAnsi="宋体" w:eastAsia="宋体" w:cs="宋体"/>
          <w:color w:val="auto"/>
          <w:kern w:val="2"/>
          <w:sz w:val="28"/>
          <w:szCs w:val="28"/>
          <w:lang w:val="en-US" w:eastAsia="zh-CN" w:bidi="ar-SA"/>
        </w:rPr>
        <w:br w:type="page"/>
      </w:r>
    </w:p>
    <w:p w14:paraId="715D461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outlineLvl w:val="0"/>
        <w:rPr>
          <w:rFonts w:hint="eastAsia" w:ascii="宋体" w:hAnsi="宋体" w:eastAsia="宋体" w:cs="宋体"/>
          <w:b/>
          <w:bCs/>
          <w:color w:val="auto"/>
          <w:kern w:val="2"/>
          <w:sz w:val="32"/>
          <w:szCs w:val="32"/>
          <w:lang w:val="en-US" w:eastAsia="zh-CN" w:bidi="ar-SA"/>
        </w:rPr>
      </w:pPr>
      <w:bookmarkStart w:id="131" w:name="_Toc11776"/>
      <w:bookmarkStart w:id="132" w:name="_Toc21493"/>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 xml:space="preserve"> 监督管理</w:t>
      </w:r>
      <w:bookmarkEnd w:id="131"/>
      <w:bookmarkEnd w:id="132"/>
    </w:p>
    <w:p w14:paraId="1B0E54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33" w:name="_Toc20048"/>
      <w:bookmarkStart w:id="134" w:name="_Toc14704"/>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.1 应急预案演练</w:t>
      </w:r>
      <w:bookmarkEnd w:id="133"/>
      <w:bookmarkEnd w:id="134"/>
    </w:p>
    <w:p w14:paraId="541755E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为提高环境风险防范意识，增强环境应急处置能力，</w:t>
      </w:r>
      <w:r>
        <w:rPr>
          <w:rFonts w:hint="eastAsia" w:ascii="宋体" w:hAnsi="宋体" w:cs="宋体"/>
          <w:color w:val="auto"/>
          <w:sz w:val="28"/>
          <w:szCs w:val="28"/>
          <w:lang w:val="en-US" w:eastAsia="zh-CN"/>
        </w:rPr>
        <w:t>白鹤街道</w:t>
      </w:r>
      <w:r>
        <w:rPr>
          <w:rFonts w:hint="eastAsia" w:ascii="宋体" w:hAnsi="宋体" w:eastAsia="宋体" w:cs="宋体"/>
          <w:color w:val="auto"/>
          <w:sz w:val="28"/>
          <w:szCs w:val="28"/>
          <w:lang w:val="en-US" w:eastAsia="zh-CN"/>
        </w:rPr>
        <w:t>应</w:t>
      </w:r>
      <w:r>
        <w:rPr>
          <w:rFonts w:hint="default" w:ascii="宋体" w:hAnsi="宋体" w:eastAsia="宋体" w:cs="宋体"/>
          <w:color w:val="auto"/>
          <w:sz w:val="28"/>
          <w:szCs w:val="28"/>
          <w:lang w:val="en-US" w:eastAsia="zh-CN"/>
        </w:rPr>
        <w:t>定期开展环境应急预案的实际演练活动。演练活动将根据不同事项制定相应的紧急预案，结合实际作出计划，实施演练，其规定如下：</w:t>
      </w:r>
    </w:p>
    <w:p w14:paraId="3FD77F72">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1）应急演</w:t>
      </w:r>
      <w:r>
        <w:rPr>
          <w:rFonts w:hint="eastAsia" w:ascii="宋体" w:hAnsi="宋体" w:eastAsia="宋体" w:cs="宋体"/>
          <w:color w:val="auto"/>
          <w:sz w:val="28"/>
          <w:szCs w:val="28"/>
          <w:lang w:val="en-US" w:eastAsia="zh-CN"/>
        </w:rPr>
        <w:t>练</w:t>
      </w:r>
      <w:r>
        <w:rPr>
          <w:rFonts w:hint="default" w:ascii="宋体" w:hAnsi="宋体" w:eastAsia="宋体" w:cs="宋体"/>
          <w:color w:val="auto"/>
          <w:sz w:val="28"/>
          <w:szCs w:val="28"/>
          <w:lang w:val="en-US" w:eastAsia="zh-CN"/>
        </w:rPr>
        <w:t>至少每年一次；</w:t>
      </w:r>
    </w:p>
    <w:p w14:paraId="360F3CA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2）</w:t>
      </w:r>
      <w:r>
        <w:rPr>
          <w:rFonts w:hint="eastAsia" w:ascii="宋体" w:hAnsi="宋体" w:eastAsia="宋体" w:cs="宋体"/>
          <w:color w:val="auto"/>
          <w:sz w:val="28"/>
          <w:szCs w:val="28"/>
          <w:lang w:val="en-US" w:eastAsia="zh-CN"/>
        </w:rPr>
        <w:t>演练</w:t>
      </w:r>
      <w:r>
        <w:rPr>
          <w:rFonts w:hint="default" w:ascii="宋体" w:hAnsi="宋体" w:eastAsia="宋体" w:cs="宋体"/>
          <w:color w:val="auto"/>
          <w:sz w:val="28"/>
          <w:szCs w:val="28"/>
          <w:lang w:val="en-US" w:eastAsia="zh-CN"/>
        </w:rPr>
        <w:t>事项按照应急预案的编制，逐项</w:t>
      </w:r>
      <w:r>
        <w:rPr>
          <w:rFonts w:hint="eastAsia" w:ascii="宋体" w:hAnsi="宋体" w:eastAsia="宋体" w:cs="宋体"/>
          <w:color w:val="auto"/>
          <w:sz w:val="28"/>
          <w:szCs w:val="28"/>
          <w:lang w:val="en-US" w:eastAsia="zh-CN"/>
        </w:rPr>
        <w:t>反复地演练</w:t>
      </w:r>
      <w:r>
        <w:rPr>
          <w:rFonts w:hint="default" w:ascii="宋体" w:hAnsi="宋体" w:eastAsia="宋体" w:cs="宋体"/>
          <w:color w:val="auto"/>
          <w:sz w:val="28"/>
          <w:szCs w:val="28"/>
          <w:lang w:val="en-US" w:eastAsia="zh-CN"/>
        </w:rPr>
        <w:t>；</w:t>
      </w:r>
    </w:p>
    <w:p w14:paraId="358034A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3）明确参加演练的人员，做到人人参加，人人熟练；</w:t>
      </w:r>
    </w:p>
    <w:p w14:paraId="2B47C773">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4）组织辖区内企业开展联合应急演练；</w:t>
      </w:r>
    </w:p>
    <w:p w14:paraId="2948B03E">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4）每一次安排</w:t>
      </w:r>
      <w:r>
        <w:rPr>
          <w:rFonts w:hint="eastAsia" w:ascii="宋体" w:hAnsi="宋体" w:eastAsia="宋体" w:cs="宋体"/>
          <w:color w:val="auto"/>
          <w:sz w:val="28"/>
          <w:szCs w:val="28"/>
          <w:lang w:val="en-US" w:eastAsia="zh-CN"/>
        </w:rPr>
        <w:t>专人</w:t>
      </w:r>
      <w:r>
        <w:rPr>
          <w:rFonts w:hint="default" w:ascii="宋体" w:hAnsi="宋体" w:eastAsia="宋体" w:cs="宋体"/>
          <w:color w:val="auto"/>
          <w:sz w:val="28"/>
          <w:szCs w:val="28"/>
          <w:lang w:val="en-US" w:eastAsia="zh-CN"/>
        </w:rPr>
        <w:t>做好演练文字记录、图</w:t>
      </w:r>
      <w:r>
        <w:rPr>
          <w:rFonts w:hint="eastAsia" w:ascii="宋体" w:hAnsi="宋体" w:cs="宋体"/>
          <w:color w:val="auto"/>
          <w:sz w:val="28"/>
          <w:szCs w:val="28"/>
          <w:lang w:val="en-US" w:eastAsia="zh-CN"/>
        </w:rPr>
        <w:t>片和</w:t>
      </w:r>
      <w:r>
        <w:rPr>
          <w:rFonts w:hint="default" w:ascii="宋体" w:hAnsi="宋体" w:eastAsia="宋体" w:cs="宋体"/>
          <w:color w:val="auto"/>
          <w:sz w:val="28"/>
          <w:szCs w:val="28"/>
          <w:lang w:val="en-US" w:eastAsia="zh-CN"/>
        </w:rPr>
        <w:t>音像资料，并存档；</w:t>
      </w:r>
    </w:p>
    <w:p w14:paraId="0A10B3C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5）每一事项演练后，对演练过程进行评估、总结，以便再次演练时进行修正，为完善预案提供依据。</w:t>
      </w:r>
    </w:p>
    <w:p w14:paraId="5C76FA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35" w:name="_Toc11370"/>
      <w:bookmarkStart w:id="136" w:name="_Toc29035"/>
      <w:bookmarkStart w:id="137" w:name="_Toc8627"/>
      <w:bookmarkStart w:id="138" w:name="_Toc12907"/>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.2 宣传</w:t>
      </w:r>
      <w:bookmarkEnd w:id="135"/>
      <w:bookmarkEnd w:id="136"/>
      <w:bookmarkEnd w:id="137"/>
      <w:bookmarkEnd w:id="138"/>
    </w:p>
    <w:p w14:paraId="51F26CD8">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重庆市开州区</w:t>
      </w:r>
      <w:r>
        <w:rPr>
          <w:rFonts w:hint="eastAsia" w:ascii="宋体" w:hAnsi="宋体" w:cs="宋体"/>
          <w:color w:val="auto"/>
          <w:sz w:val="28"/>
          <w:szCs w:val="28"/>
          <w:lang w:val="en-US" w:eastAsia="zh-CN"/>
        </w:rPr>
        <w:t>白鹤街道</w:t>
      </w:r>
      <w:r>
        <w:rPr>
          <w:rFonts w:hint="eastAsia" w:ascii="宋体" w:hAnsi="宋体" w:eastAsia="宋体" w:cs="宋体"/>
          <w:color w:val="auto"/>
          <w:sz w:val="28"/>
          <w:szCs w:val="28"/>
          <w:lang w:val="en-US" w:eastAsia="zh-CN"/>
        </w:rPr>
        <w:t>辖区内各企业应向员工说明本单位所涉及的环境风险物质的危险特性及发生事件可能造成的危害。广泛宣传突发环境事件有关法律法规和预防、避险、避灾、自救、互救的应急常识。增强职工应对突发环境事件的知识，增强应对突发环境事件的能力。</w:t>
      </w:r>
    </w:p>
    <w:p w14:paraId="6D6DA6DC">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掌握预案、应用预案处置突发环境事件。</w:t>
      </w:r>
    </w:p>
    <w:p w14:paraId="1456FB6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eastAsia" w:ascii="宋体" w:hAnsi="宋体" w:eastAsia="宋体" w:cs="宋体"/>
          <w:b/>
          <w:bCs/>
          <w:color w:val="auto"/>
          <w:kern w:val="2"/>
          <w:sz w:val="32"/>
          <w:szCs w:val="32"/>
          <w:lang w:val="en-US" w:eastAsia="zh-CN" w:bidi="ar-SA"/>
        </w:rPr>
      </w:pPr>
      <w:bookmarkStart w:id="139" w:name="_Toc27877"/>
      <w:bookmarkStart w:id="140" w:name="_Toc6999"/>
      <w:bookmarkStart w:id="141" w:name="_Toc23169"/>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.3 培训</w:t>
      </w:r>
      <w:bookmarkEnd w:id="139"/>
      <w:bookmarkEnd w:id="140"/>
      <w:bookmarkEnd w:id="141"/>
    </w:p>
    <w:p w14:paraId="63A34E84">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培训基本任务是：在突发环境事件情况下的快速抢险堵源，及时营救伤员、正确指导和帮助群众防护与撤离、有效消除环境危害，开展现场急救和伤员转送等技能和应急反应综合素质，有效降低突发环境事件对周边环境的危害，减少突发环境事件造成的损失。</w:t>
      </w:r>
    </w:p>
    <w:p w14:paraId="0AE342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left"/>
        <w:textAlignment w:val="auto"/>
        <w:outlineLvl w:val="1"/>
        <w:rPr>
          <w:rFonts w:hint="default" w:ascii="宋体" w:hAnsi="宋体" w:eastAsia="宋体" w:cs="宋体"/>
          <w:b/>
          <w:bCs/>
          <w:color w:val="auto"/>
          <w:kern w:val="2"/>
          <w:sz w:val="32"/>
          <w:szCs w:val="32"/>
          <w:lang w:val="en-US" w:eastAsia="zh-CN" w:bidi="ar-SA"/>
        </w:rPr>
      </w:pPr>
      <w:bookmarkStart w:id="142" w:name="_Toc29430"/>
      <w:bookmarkStart w:id="143" w:name="_Toc26469"/>
      <w:bookmarkStart w:id="144" w:name="_Toc5163"/>
      <w:r>
        <w:rPr>
          <w:rFonts w:hint="eastAsia" w:ascii="宋体" w:hAnsi="宋体" w:cs="宋体"/>
          <w:b/>
          <w:bCs/>
          <w:color w:val="auto"/>
          <w:kern w:val="2"/>
          <w:sz w:val="32"/>
          <w:szCs w:val="32"/>
          <w:lang w:val="en-US" w:eastAsia="zh-CN" w:bidi="ar-SA"/>
        </w:rPr>
        <w:t>7</w:t>
      </w:r>
      <w:r>
        <w:rPr>
          <w:rFonts w:hint="eastAsia" w:ascii="宋体" w:hAnsi="宋体" w:eastAsia="宋体" w:cs="宋体"/>
          <w:b/>
          <w:bCs/>
          <w:color w:val="auto"/>
          <w:kern w:val="2"/>
          <w:sz w:val="32"/>
          <w:szCs w:val="32"/>
          <w:lang w:val="en-US" w:eastAsia="zh-CN" w:bidi="ar-SA"/>
        </w:rPr>
        <w:t>.4 预案管理</w:t>
      </w:r>
      <w:bookmarkEnd w:id="142"/>
      <w:bookmarkEnd w:id="143"/>
      <w:bookmarkEnd w:id="144"/>
    </w:p>
    <w:p w14:paraId="7D7395BB">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cs="宋体"/>
          <w:b/>
          <w:bCs/>
          <w:color w:val="auto"/>
          <w:kern w:val="2"/>
          <w:sz w:val="28"/>
          <w:szCs w:val="28"/>
          <w:lang w:val="en-US" w:eastAsia="zh-CN" w:bidi="ar-SA"/>
        </w:rPr>
        <w:t>7</w:t>
      </w:r>
      <w:r>
        <w:rPr>
          <w:rFonts w:hint="eastAsia" w:ascii="宋体" w:hAnsi="宋体" w:eastAsia="宋体" w:cs="宋体"/>
          <w:b/>
          <w:bCs/>
          <w:color w:val="auto"/>
          <w:kern w:val="2"/>
          <w:sz w:val="28"/>
          <w:szCs w:val="28"/>
          <w:lang w:val="en-US" w:eastAsia="zh-CN" w:bidi="ar-SA"/>
        </w:rPr>
        <w:t>.4.1 预案的制定和解释</w:t>
      </w:r>
    </w:p>
    <w:p w14:paraId="6534927A">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白鹤街道</w:t>
      </w:r>
      <w:r>
        <w:rPr>
          <w:rFonts w:hint="eastAsia" w:ascii="宋体" w:hAnsi="宋体" w:eastAsia="宋体" w:cs="宋体"/>
          <w:color w:val="auto"/>
          <w:sz w:val="28"/>
          <w:szCs w:val="28"/>
          <w:lang w:val="en-US" w:eastAsia="zh-CN"/>
        </w:rPr>
        <w:t>通过对辖区</w:t>
      </w:r>
      <w:r>
        <w:rPr>
          <w:rFonts w:hint="default" w:ascii="宋体" w:hAnsi="宋体" w:eastAsia="宋体" w:cs="宋体"/>
          <w:color w:val="auto"/>
          <w:sz w:val="28"/>
          <w:szCs w:val="28"/>
          <w:lang w:val="en-US" w:eastAsia="zh-CN"/>
        </w:rPr>
        <w:t>重点环境风险源定期开展预案评估工作，按有关规定及时组织预案修订工作</w:t>
      </w:r>
      <w:r>
        <w:rPr>
          <w:rFonts w:hint="eastAsia" w:ascii="宋体" w:hAnsi="宋体" w:eastAsia="宋体" w:cs="宋体"/>
          <w:color w:val="auto"/>
          <w:sz w:val="28"/>
          <w:szCs w:val="28"/>
          <w:lang w:val="en-US" w:eastAsia="zh-CN"/>
        </w:rPr>
        <w:t>，原则上不超过三年</w:t>
      </w:r>
      <w:r>
        <w:rPr>
          <w:rFonts w:hint="default" w:ascii="宋体" w:hAnsi="宋体" w:eastAsia="宋体" w:cs="宋体"/>
          <w:color w:val="auto"/>
          <w:sz w:val="28"/>
          <w:szCs w:val="28"/>
          <w:lang w:val="en-US" w:eastAsia="zh-CN"/>
        </w:rPr>
        <w:t>。</w:t>
      </w:r>
    </w:p>
    <w:p w14:paraId="7AAE3487">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default" w:ascii="宋体" w:hAnsi="宋体" w:eastAsia="宋体" w:cs="宋体"/>
          <w:color w:val="auto"/>
          <w:sz w:val="28"/>
          <w:szCs w:val="28"/>
          <w:lang w:val="en-US" w:eastAsia="zh-CN"/>
        </w:rPr>
        <w:t>本预案由</w:t>
      </w:r>
      <w:r>
        <w:rPr>
          <w:rFonts w:hint="eastAsia" w:ascii="宋体" w:hAnsi="宋体" w:cs="宋体"/>
          <w:color w:val="auto"/>
          <w:sz w:val="28"/>
          <w:szCs w:val="28"/>
          <w:lang w:val="en-US" w:eastAsia="zh-CN"/>
        </w:rPr>
        <w:t>重庆市开州区人民政府白鹤街道办事处</w:t>
      </w:r>
      <w:r>
        <w:rPr>
          <w:rFonts w:hint="default" w:ascii="宋体" w:hAnsi="宋体" w:eastAsia="宋体" w:cs="宋体"/>
          <w:color w:val="auto"/>
          <w:sz w:val="28"/>
          <w:szCs w:val="28"/>
          <w:lang w:val="en-US" w:eastAsia="zh-CN"/>
        </w:rPr>
        <w:t>负责解释</w:t>
      </w:r>
    </w:p>
    <w:p w14:paraId="53720F5C">
      <w:pPr>
        <w:keepNext w:val="0"/>
        <w:keepLines w:val="0"/>
        <w:pageBreakBefore w:val="0"/>
        <w:widowControl w:val="0"/>
        <w:kinsoku/>
        <w:wordWrap/>
        <w:overflowPunct/>
        <w:topLinePunct w:val="0"/>
        <w:autoSpaceDE/>
        <w:autoSpaceDN/>
        <w:bidi w:val="0"/>
        <w:adjustRightInd/>
        <w:snapToGrid/>
        <w:spacing w:line="360" w:lineRule="auto"/>
        <w:ind w:left="0" w:firstLine="562" w:firstLineChars="200"/>
        <w:textAlignment w:val="auto"/>
        <w:outlineLvl w:val="2"/>
        <w:rPr>
          <w:rFonts w:hint="eastAsia" w:ascii="宋体" w:hAnsi="宋体" w:eastAsia="宋体" w:cs="宋体"/>
          <w:b/>
          <w:bCs/>
          <w:color w:val="auto"/>
          <w:kern w:val="2"/>
          <w:sz w:val="28"/>
          <w:szCs w:val="28"/>
          <w:lang w:val="en-US" w:eastAsia="zh-CN" w:bidi="ar-SA"/>
        </w:rPr>
      </w:pPr>
      <w:r>
        <w:rPr>
          <w:rFonts w:hint="eastAsia" w:ascii="宋体" w:hAnsi="宋体" w:cs="宋体"/>
          <w:b/>
          <w:bCs/>
          <w:color w:val="auto"/>
          <w:kern w:val="2"/>
          <w:sz w:val="28"/>
          <w:szCs w:val="28"/>
          <w:lang w:val="en-US" w:eastAsia="zh-CN" w:bidi="ar-SA"/>
        </w:rPr>
        <w:t>7</w:t>
      </w:r>
      <w:r>
        <w:rPr>
          <w:rFonts w:hint="eastAsia" w:ascii="宋体" w:hAnsi="宋体" w:eastAsia="宋体" w:cs="宋体"/>
          <w:b/>
          <w:bCs/>
          <w:color w:val="auto"/>
          <w:kern w:val="2"/>
          <w:sz w:val="28"/>
          <w:szCs w:val="28"/>
          <w:lang w:val="en-US" w:eastAsia="zh-CN" w:bidi="ar-SA"/>
        </w:rPr>
        <w:t>.4.2 实施时间</w:t>
      </w:r>
    </w:p>
    <w:p w14:paraId="5843C901">
      <w:pPr>
        <w:pageBreakBefore w:val="0"/>
        <w:kinsoku/>
        <w:wordWrap/>
        <w:overflowPunct/>
        <w:topLinePunct w:val="0"/>
        <w:autoSpaceDE/>
        <w:autoSpaceDN/>
        <w:bidi w:val="0"/>
        <w:adjustRightInd w:val="0"/>
        <w:snapToGrid w:val="0"/>
        <w:spacing w:line="360" w:lineRule="auto"/>
        <w:ind w:left="0" w:leftChars="0" w:right="0" w:firstLine="560" w:firstLineChars="200"/>
        <w:jc w:val="left"/>
        <w:textAlignment w:val="auto"/>
        <w:outlineLvl w:val="9"/>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本预案自印发之日起实施。</w:t>
      </w:r>
    </w:p>
    <w:p w14:paraId="25C5FA05">
      <w:pPr>
        <w:rPr>
          <w:rFonts w:hint="default" w:ascii="宋体" w:hAnsi="宋体" w:eastAsia="宋体" w:cs="宋体"/>
          <w:color w:val="auto"/>
          <w:kern w:val="2"/>
          <w:sz w:val="28"/>
          <w:szCs w:val="28"/>
          <w:lang w:val="en-US" w:eastAsia="zh-CN" w:bidi="ar-SA"/>
        </w:rPr>
      </w:pPr>
      <w:r>
        <w:rPr>
          <w:rFonts w:hint="default" w:ascii="宋体" w:hAnsi="宋体" w:eastAsia="宋体" w:cs="宋体"/>
          <w:color w:val="auto"/>
          <w:kern w:val="2"/>
          <w:sz w:val="28"/>
          <w:szCs w:val="28"/>
          <w:lang w:val="en-US" w:eastAsia="zh-CN" w:bidi="ar-SA"/>
        </w:rPr>
        <w:br w:type="page"/>
      </w:r>
    </w:p>
    <w:p w14:paraId="564887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0" w:firstLineChars="0"/>
        <w:jc w:val="center"/>
        <w:textAlignment w:val="auto"/>
        <w:outlineLvl w:val="0"/>
        <w:rPr>
          <w:rFonts w:hint="eastAsia" w:ascii="宋体" w:hAnsi="宋体" w:eastAsia="宋体" w:cs="宋体"/>
          <w:b/>
          <w:bCs/>
          <w:color w:val="auto"/>
          <w:kern w:val="2"/>
          <w:sz w:val="32"/>
          <w:szCs w:val="32"/>
          <w:lang w:val="en-US" w:eastAsia="zh-CN" w:bidi="ar-SA"/>
        </w:rPr>
      </w:pPr>
      <w:bookmarkStart w:id="145" w:name="_Toc1381"/>
      <w:bookmarkStart w:id="146" w:name="_Toc9732"/>
      <w:bookmarkStart w:id="147" w:name="_Toc26203"/>
      <w:r>
        <w:rPr>
          <w:rFonts w:hint="eastAsia" w:ascii="宋体" w:hAnsi="宋体" w:cs="宋体"/>
          <w:b/>
          <w:bCs/>
          <w:color w:val="auto"/>
          <w:kern w:val="2"/>
          <w:sz w:val="32"/>
          <w:szCs w:val="32"/>
          <w:lang w:val="en-US" w:eastAsia="zh-CN" w:bidi="ar-SA"/>
        </w:rPr>
        <w:t>8</w:t>
      </w:r>
      <w:r>
        <w:rPr>
          <w:rFonts w:hint="eastAsia" w:ascii="宋体" w:hAnsi="宋体" w:eastAsia="宋体" w:cs="宋体"/>
          <w:b/>
          <w:bCs/>
          <w:color w:val="auto"/>
          <w:kern w:val="2"/>
          <w:sz w:val="32"/>
          <w:szCs w:val="32"/>
          <w:lang w:val="en-US" w:eastAsia="zh-CN" w:bidi="ar-SA"/>
        </w:rPr>
        <w:t xml:space="preserve"> 附件和附图</w:t>
      </w:r>
      <w:bookmarkEnd w:id="145"/>
      <w:bookmarkEnd w:id="146"/>
      <w:bookmarkEnd w:id="147"/>
    </w:p>
    <w:p w14:paraId="14C864E3">
      <w:pPr>
        <w:spacing w:line="360" w:lineRule="auto"/>
        <w:rPr>
          <w:color w:val="auto"/>
          <w:sz w:val="28"/>
          <w:szCs w:val="28"/>
        </w:rPr>
      </w:pPr>
      <w:r>
        <w:rPr>
          <w:rFonts w:hint="eastAsia"/>
          <w:color w:val="auto"/>
          <w:sz w:val="28"/>
          <w:szCs w:val="28"/>
        </w:rPr>
        <w:t>附件1：</w:t>
      </w:r>
      <w:r>
        <w:rPr>
          <w:rFonts w:hint="eastAsia"/>
          <w:color w:val="auto"/>
          <w:sz w:val="28"/>
          <w:szCs w:val="28"/>
          <w:lang w:val="en-US" w:eastAsia="zh-CN"/>
        </w:rPr>
        <w:t>应急组织机构</w:t>
      </w:r>
      <w:r>
        <w:rPr>
          <w:rFonts w:hint="eastAsia"/>
          <w:color w:val="auto"/>
          <w:sz w:val="28"/>
          <w:szCs w:val="28"/>
        </w:rPr>
        <w:t>名单</w:t>
      </w:r>
    </w:p>
    <w:p w14:paraId="11E6B9A8">
      <w:pPr>
        <w:spacing w:line="360" w:lineRule="auto"/>
        <w:rPr>
          <w:rFonts w:hint="eastAsia"/>
          <w:color w:val="auto"/>
          <w:sz w:val="28"/>
          <w:szCs w:val="28"/>
        </w:rPr>
      </w:pPr>
      <w:r>
        <w:rPr>
          <w:rFonts w:hint="eastAsia"/>
          <w:color w:val="auto"/>
          <w:sz w:val="28"/>
          <w:szCs w:val="28"/>
        </w:rPr>
        <w:t>附件2：</w:t>
      </w:r>
      <w:r>
        <w:rPr>
          <w:rFonts w:hint="eastAsia"/>
          <w:color w:val="auto"/>
          <w:sz w:val="28"/>
          <w:szCs w:val="28"/>
          <w:lang w:eastAsia="zh-CN"/>
        </w:rPr>
        <w:t>白鹤街道</w:t>
      </w:r>
      <w:r>
        <w:rPr>
          <w:rFonts w:hint="eastAsia"/>
          <w:color w:val="auto"/>
          <w:sz w:val="28"/>
          <w:szCs w:val="28"/>
        </w:rPr>
        <w:t>环境突发事件应急物资清单</w:t>
      </w:r>
    </w:p>
    <w:p w14:paraId="4D3894A2">
      <w:pPr>
        <w:spacing w:line="360" w:lineRule="auto"/>
        <w:rPr>
          <w:color w:val="auto"/>
          <w:sz w:val="28"/>
          <w:szCs w:val="28"/>
        </w:rPr>
      </w:pPr>
      <w:r>
        <w:rPr>
          <w:rFonts w:hint="eastAsia"/>
          <w:color w:val="auto"/>
          <w:sz w:val="28"/>
          <w:szCs w:val="28"/>
        </w:rPr>
        <w:t>附件3：开州区生态环境局应急物资储备情况</w:t>
      </w:r>
    </w:p>
    <w:p w14:paraId="79C8A3BC">
      <w:pPr>
        <w:spacing w:line="360" w:lineRule="auto"/>
        <w:rPr>
          <w:rFonts w:hint="eastAsia"/>
          <w:color w:val="auto"/>
          <w:sz w:val="28"/>
          <w:szCs w:val="28"/>
          <w:lang w:val="en-US" w:eastAsia="zh-CN"/>
        </w:rPr>
      </w:pPr>
      <w:r>
        <w:rPr>
          <w:rFonts w:hint="eastAsia"/>
          <w:color w:val="auto"/>
          <w:sz w:val="28"/>
          <w:szCs w:val="28"/>
          <w:lang w:val="en-US" w:eastAsia="zh-CN"/>
        </w:rPr>
        <w:t>附图1：开州区行政区划图</w:t>
      </w:r>
    </w:p>
    <w:p w14:paraId="7DF921E2">
      <w:pPr>
        <w:spacing w:line="360" w:lineRule="auto"/>
        <w:rPr>
          <w:rFonts w:hint="eastAsia"/>
          <w:color w:val="auto"/>
          <w:sz w:val="28"/>
          <w:szCs w:val="28"/>
          <w:lang w:val="en-US" w:eastAsia="zh-CN"/>
        </w:rPr>
      </w:pPr>
      <w:r>
        <w:rPr>
          <w:rFonts w:hint="eastAsia"/>
          <w:color w:val="auto"/>
          <w:sz w:val="28"/>
          <w:szCs w:val="28"/>
          <w:lang w:val="en-US" w:eastAsia="zh-CN"/>
        </w:rPr>
        <w:t>附图2：开州区水系图</w:t>
      </w:r>
    </w:p>
    <w:p w14:paraId="58F0155F">
      <w:pPr>
        <w:spacing w:line="360" w:lineRule="auto"/>
        <w:rPr>
          <w:rFonts w:hint="eastAsia"/>
          <w:color w:val="auto"/>
          <w:sz w:val="28"/>
          <w:szCs w:val="28"/>
          <w:lang w:val="en-US" w:eastAsia="zh-CN"/>
        </w:rPr>
      </w:pPr>
      <w:r>
        <w:rPr>
          <w:rFonts w:hint="eastAsia"/>
          <w:color w:val="auto"/>
          <w:sz w:val="28"/>
          <w:szCs w:val="28"/>
          <w:lang w:val="en-US" w:eastAsia="zh-CN"/>
        </w:rPr>
        <w:t>附图3：重庆市开州区白鹤街道饮用水水源地地理位置图</w:t>
      </w:r>
    </w:p>
    <w:p w14:paraId="2ABBC8A8">
      <w:pPr>
        <w:spacing w:line="360" w:lineRule="auto"/>
        <w:rPr>
          <w:rFonts w:hint="eastAsia"/>
          <w:color w:val="auto"/>
          <w:sz w:val="28"/>
          <w:szCs w:val="28"/>
          <w:lang w:val="en-US" w:eastAsia="zh-CN"/>
        </w:rPr>
      </w:pPr>
      <w:r>
        <w:rPr>
          <w:rFonts w:hint="eastAsia"/>
          <w:color w:val="auto"/>
          <w:sz w:val="28"/>
          <w:szCs w:val="28"/>
          <w:lang w:val="en-US" w:eastAsia="zh-CN"/>
        </w:rPr>
        <w:t>附图4：重庆市开州区白鹤街道饮用水水源地及固定、移动风险源分布图</w:t>
      </w:r>
    </w:p>
    <w:p w14:paraId="6E906298">
      <w:pPr>
        <w:spacing w:line="360" w:lineRule="auto"/>
        <w:rPr>
          <w:rFonts w:hint="eastAsia"/>
          <w:color w:val="auto"/>
          <w:sz w:val="28"/>
          <w:szCs w:val="28"/>
          <w:lang w:val="en-US" w:eastAsia="zh-CN"/>
        </w:rPr>
      </w:pPr>
      <w:r>
        <w:rPr>
          <w:rFonts w:hint="eastAsia"/>
          <w:color w:val="auto"/>
          <w:sz w:val="28"/>
          <w:szCs w:val="28"/>
          <w:lang w:val="en-US" w:eastAsia="zh-CN"/>
        </w:rPr>
        <w:t>附图5：突发环境事件应急物资分布图</w:t>
      </w:r>
    </w:p>
    <w:p w14:paraId="66164448">
      <w:pPr>
        <w:spacing w:line="360" w:lineRule="auto"/>
        <w:rPr>
          <w:rFonts w:hint="eastAsia"/>
          <w:color w:val="auto"/>
          <w:sz w:val="28"/>
          <w:szCs w:val="28"/>
          <w:lang w:val="en-US" w:eastAsia="zh-CN"/>
        </w:rPr>
      </w:pPr>
      <w:r>
        <w:rPr>
          <w:rFonts w:hint="eastAsia"/>
          <w:color w:val="auto"/>
          <w:sz w:val="28"/>
          <w:szCs w:val="28"/>
          <w:lang w:val="en-US" w:eastAsia="zh-CN"/>
        </w:rPr>
        <w:t>附图6：饮用水源地监测点位分布图</w:t>
      </w:r>
    </w:p>
    <w:p w14:paraId="7E2A5749">
      <w:pPr>
        <w:widowControl/>
        <w:adjustRightInd w:val="0"/>
        <w:snapToGrid w:val="0"/>
        <w:spacing w:line="520" w:lineRule="exact"/>
        <w:ind w:firstLine="480" w:firstLineChars="200"/>
        <w:rPr>
          <w:rFonts w:hint="eastAsia"/>
          <w:color w:val="FF0000"/>
          <w:sz w:val="24"/>
        </w:rPr>
      </w:pPr>
    </w:p>
    <w:p w14:paraId="2211E294">
      <w:pPr>
        <w:widowControl/>
        <w:adjustRightInd w:val="0"/>
        <w:snapToGrid w:val="0"/>
        <w:spacing w:line="520" w:lineRule="exact"/>
        <w:ind w:firstLine="480" w:firstLineChars="200"/>
        <w:rPr>
          <w:rFonts w:hint="eastAsia"/>
          <w:color w:val="FF0000"/>
          <w:sz w:val="24"/>
        </w:rPr>
      </w:pPr>
    </w:p>
    <w:p w14:paraId="2C93F743">
      <w:pPr>
        <w:widowControl/>
        <w:adjustRightInd w:val="0"/>
        <w:snapToGrid w:val="0"/>
        <w:spacing w:line="520" w:lineRule="exact"/>
        <w:ind w:firstLine="480" w:firstLineChars="200"/>
        <w:rPr>
          <w:rFonts w:hint="eastAsia"/>
          <w:color w:val="FF0000"/>
          <w:sz w:val="24"/>
        </w:rPr>
      </w:pPr>
    </w:p>
    <w:p w14:paraId="4903EE0E">
      <w:pPr>
        <w:widowControl/>
        <w:adjustRightInd w:val="0"/>
        <w:snapToGrid w:val="0"/>
        <w:spacing w:line="520" w:lineRule="exact"/>
        <w:ind w:firstLine="480" w:firstLineChars="200"/>
        <w:rPr>
          <w:rFonts w:hint="eastAsia"/>
          <w:color w:val="FF0000"/>
          <w:sz w:val="24"/>
        </w:rPr>
      </w:pPr>
    </w:p>
    <w:p w14:paraId="73F0204A">
      <w:pPr>
        <w:widowControl/>
        <w:adjustRightInd w:val="0"/>
        <w:snapToGrid w:val="0"/>
        <w:spacing w:line="520" w:lineRule="exact"/>
        <w:ind w:firstLine="480" w:firstLineChars="200"/>
        <w:rPr>
          <w:rFonts w:hint="eastAsia"/>
          <w:color w:val="FF0000"/>
          <w:sz w:val="24"/>
        </w:rPr>
      </w:pPr>
    </w:p>
    <w:p w14:paraId="5B1691FB">
      <w:pPr>
        <w:widowControl/>
        <w:adjustRightInd w:val="0"/>
        <w:snapToGrid w:val="0"/>
        <w:spacing w:line="520" w:lineRule="exact"/>
        <w:ind w:firstLine="480" w:firstLineChars="200"/>
        <w:rPr>
          <w:rFonts w:hint="eastAsia"/>
          <w:color w:val="FF0000"/>
          <w:sz w:val="24"/>
        </w:rPr>
      </w:pPr>
    </w:p>
    <w:p w14:paraId="6A83F7B1">
      <w:pPr>
        <w:widowControl/>
        <w:adjustRightInd w:val="0"/>
        <w:snapToGrid w:val="0"/>
        <w:spacing w:line="520" w:lineRule="exact"/>
        <w:ind w:firstLine="480" w:firstLineChars="200"/>
        <w:rPr>
          <w:rFonts w:hint="eastAsia"/>
          <w:color w:val="FF0000"/>
          <w:sz w:val="24"/>
        </w:rPr>
      </w:pPr>
    </w:p>
    <w:p w14:paraId="027C399C">
      <w:pPr>
        <w:widowControl/>
        <w:adjustRightInd w:val="0"/>
        <w:snapToGrid w:val="0"/>
        <w:spacing w:line="520" w:lineRule="exact"/>
        <w:ind w:firstLine="480" w:firstLineChars="200"/>
        <w:rPr>
          <w:rFonts w:hint="eastAsia"/>
          <w:color w:val="FF0000"/>
          <w:sz w:val="24"/>
        </w:rPr>
      </w:pPr>
    </w:p>
    <w:p w14:paraId="4F1E7C03">
      <w:pPr>
        <w:widowControl/>
        <w:adjustRightInd w:val="0"/>
        <w:snapToGrid w:val="0"/>
        <w:spacing w:line="520" w:lineRule="exact"/>
        <w:ind w:firstLine="480" w:firstLineChars="200"/>
        <w:rPr>
          <w:rFonts w:hint="eastAsia"/>
          <w:color w:val="FF0000"/>
          <w:sz w:val="24"/>
        </w:rPr>
      </w:pPr>
    </w:p>
    <w:p w14:paraId="30B36945">
      <w:pPr>
        <w:widowControl/>
        <w:adjustRightInd w:val="0"/>
        <w:snapToGrid w:val="0"/>
        <w:spacing w:line="520" w:lineRule="exact"/>
        <w:ind w:firstLine="480" w:firstLineChars="200"/>
        <w:rPr>
          <w:rFonts w:hint="eastAsia"/>
          <w:color w:val="FF0000"/>
          <w:sz w:val="24"/>
        </w:rPr>
      </w:pPr>
    </w:p>
    <w:p w14:paraId="67BDD8CF">
      <w:pPr>
        <w:widowControl/>
        <w:adjustRightInd w:val="0"/>
        <w:snapToGrid w:val="0"/>
        <w:spacing w:line="520" w:lineRule="exact"/>
        <w:ind w:firstLine="480" w:firstLineChars="200"/>
        <w:rPr>
          <w:rFonts w:hint="eastAsia"/>
          <w:color w:val="FF0000"/>
          <w:sz w:val="24"/>
        </w:rPr>
      </w:pPr>
    </w:p>
    <w:p w14:paraId="124DDB60">
      <w:pPr>
        <w:rPr>
          <w:rFonts w:hint="eastAsia" w:ascii="宋体" w:hAnsi="宋体" w:eastAsia="宋体" w:cs="宋体"/>
          <w:color w:val="auto"/>
          <w:sz w:val="28"/>
          <w:szCs w:val="28"/>
        </w:rPr>
      </w:pPr>
      <w:bookmarkStart w:id="148" w:name="_Toc4999"/>
      <w:r>
        <w:rPr>
          <w:rFonts w:hint="eastAsia" w:ascii="宋体" w:hAnsi="宋体" w:eastAsia="宋体" w:cs="宋体"/>
          <w:color w:val="auto"/>
          <w:sz w:val="28"/>
          <w:szCs w:val="28"/>
        </w:rPr>
        <w:br w:type="page"/>
      </w:r>
    </w:p>
    <w:p w14:paraId="69756904">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eastAsia="宋体" w:cs="宋体"/>
          <w:color w:val="auto"/>
          <w:sz w:val="21"/>
          <w:szCs w:val="21"/>
          <w:lang w:val="en-US" w:eastAsia="zh-CN"/>
        </w:rPr>
      </w:pPr>
      <w:bookmarkStart w:id="149" w:name="_Toc22787"/>
      <w:r>
        <w:rPr>
          <w:rFonts w:hint="eastAsia" w:ascii="宋体" w:hAnsi="宋体" w:eastAsia="宋体" w:cs="宋体"/>
          <w:color w:val="auto"/>
          <w:sz w:val="28"/>
          <w:szCs w:val="28"/>
        </w:rPr>
        <w:t>附件1：</w:t>
      </w:r>
      <w:r>
        <w:rPr>
          <w:rFonts w:hint="eastAsia" w:ascii="宋体" w:hAnsi="宋体" w:eastAsia="宋体" w:cs="宋体"/>
          <w:color w:val="auto"/>
          <w:sz w:val="28"/>
          <w:szCs w:val="28"/>
          <w:lang w:val="en-US" w:eastAsia="zh-CN"/>
        </w:rPr>
        <w:t>应急组织机构名单</w:t>
      </w:r>
      <w:bookmarkEnd w:id="148"/>
      <w:bookmarkEnd w:id="149"/>
    </w:p>
    <w:p w14:paraId="6318F2C7">
      <w:pPr>
        <w:widowControl/>
        <w:jc w:val="center"/>
        <w:rPr>
          <w:rFonts w:hint="eastAsia" w:ascii="宋体" w:hAnsi="宋体" w:cs="宋体"/>
          <w:b/>
          <w:bCs/>
          <w:color w:val="auto"/>
          <w:kern w:val="0"/>
          <w:sz w:val="24"/>
        </w:rPr>
      </w:pPr>
      <w:r>
        <w:rPr>
          <w:rFonts w:hint="eastAsia" w:ascii="宋体" w:hAnsi="宋体" w:cs="宋体"/>
          <w:b/>
          <w:bCs/>
          <w:color w:val="auto"/>
          <w:kern w:val="0"/>
          <w:sz w:val="24"/>
        </w:rPr>
        <w:t>应急队伍名单</w:t>
      </w:r>
    </w:p>
    <w:tbl>
      <w:tblPr>
        <w:tblStyle w:val="17"/>
        <w:tblW w:w="8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509"/>
        <w:gridCol w:w="952"/>
        <w:gridCol w:w="2860"/>
        <w:gridCol w:w="1636"/>
      </w:tblGrid>
      <w:tr w14:paraId="436E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tcBorders>
              <w:tl2br w:val="nil"/>
              <w:tr2bl w:val="nil"/>
            </w:tcBorders>
            <w:noWrap w:val="0"/>
            <w:vAlign w:val="center"/>
          </w:tcPr>
          <w:p w14:paraId="541F81B5">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rPr>
              <w:t>应急</w:t>
            </w:r>
            <w:r>
              <w:rPr>
                <w:rFonts w:hint="eastAsia" w:ascii="宋体" w:hAnsi="宋体" w:eastAsia="宋体" w:cs="宋体"/>
                <w:b w:val="0"/>
                <w:bCs w:val="0"/>
                <w:color w:val="auto"/>
                <w:sz w:val="21"/>
                <w:szCs w:val="21"/>
                <w:lang w:eastAsia="zh-CN"/>
              </w:rPr>
              <w:t>组织机构</w:t>
            </w:r>
          </w:p>
        </w:tc>
        <w:tc>
          <w:tcPr>
            <w:tcW w:w="1509" w:type="dxa"/>
            <w:tcBorders>
              <w:tl2br w:val="nil"/>
              <w:tr2bl w:val="nil"/>
            </w:tcBorders>
            <w:noWrap w:val="0"/>
            <w:vAlign w:val="center"/>
          </w:tcPr>
          <w:p w14:paraId="45F51FB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应急职务</w:t>
            </w:r>
          </w:p>
        </w:tc>
        <w:tc>
          <w:tcPr>
            <w:tcW w:w="952" w:type="dxa"/>
            <w:tcBorders>
              <w:tl2br w:val="nil"/>
              <w:tr2bl w:val="nil"/>
            </w:tcBorders>
            <w:noWrap w:val="0"/>
            <w:vAlign w:val="center"/>
          </w:tcPr>
          <w:p w14:paraId="2FD1D85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姓名</w:t>
            </w:r>
          </w:p>
        </w:tc>
        <w:tc>
          <w:tcPr>
            <w:tcW w:w="2860" w:type="dxa"/>
            <w:tcBorders>
              <w:tl2br w:val="nil"/>
              <w:tr2bl w:val="nil"/>
            </w:tcBorders>
            <w:noWrap w:val="0"/>
            <w:vAlign w:val="center"/>
          </w:tcPr>
          <w:p w14:paraId="44003B8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部门（职务）</w:t>
            </w:r>
          </w:p>
        </w:tc>
        <w:tc>
          <w:tcPr>
            <w:tcW w:w="1636" w:type="dxa"/>
            <w:tcBorders>
              <w:tl2br w:val="nil"/>
              <w:tr2bl w:val="nil"/>
            </w:tcBorders>
            <w:noWrap w:val="0"/>
            <w:vAlign w:val="center"/>
          </w:tcPr>
          <w:p w14:paraId="39CA27BE">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eastAsia="zh-CN"/>
              </w:rPr>
              <w:t>联系电话</w:t>
            </w:r>
          </w:p>
        </w:tc>
      </w:tr>
      <w:tr w14:paraId="7D13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restart"/>
            <w:tcBorders>
              <w:tl2br w:val="nil"/>
              <w:tr2bl w:val="nil"/>
            </w:tcBorders>
            <w:noWrap w:val="0"/>
            <w:vAlign w:val="center"/>
          </w:tcPr>
          <w:p w14:paraId="29E21071">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应急领导小组</w:t>
            </w:r>
          </w:p>
        </w:tc>
        <w:tc>
          <w:tcPr>
            <w:tcW w:w="1509" w:type="dxa"/>
            <w:tcBorders>
              <w:tl2br w:val="nil"/>
              <w:tr2bl w:val="nil"/>
            </w:tcBorders>
            <w:noWrap w:val="0"/>
            <w:vAlign w:val="center"/>
          </w:tcPr>
          <w:p w14:paraId="5C0E1FFE">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组长</w:t>
            </w:r>
          </w:p>
        </w:tc>
        <w:tc>
          <w:tcPr>
            <w:tcW w:w="952" w:type="dxa"/>
            <w:tcBorders>
              <w:tl2br w:val="nil"/>
              <w:tr2bl w:val="nil"/>
            </w:tcBorders>
            <w:noWrap w:val="0"/>
            <w:vAlign w:val="center"/>
          </w:tcPr>
          <w:p w14:paraId="18897CC1">
            <w:pPr>
              <w:spacing w:line="300" w:lineRule="atLeas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陈国华</w:t>
            </w:r>
          </w:p>
        </w:tc>
        <w:tc>
          <w:tcPr>
            <w:tcW w:w="2860" w:type="dxa"/>
            <w:tcBorders>
              <w:tl2br w:val="nil"/>
              <w:tr2bl w:val="nil"/>
            </w:tcBorders>
            <w:noWrap w:val="0"/>
            <w:vAlign w:val="center"/>
          </w:tcPr>
          <w:p w14:paraId="5B9BA058">
            <w:pPr>
              <w:spacing w:line="300" w:lineRule="atLeast"/>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白鹤街道</w:t>
            </w:r>
            <w:r>
              <w:rPr>
                <w:rFonts w:hint="eastAsia" w:ascii="宋体" w:hAnsi="宋体" w:eastAsia="宋体" w:cs="宋体"/>
                <w:sz w:val="21"/>
                <w:szCs w:val="21"/>
                <w:highlight w:val="none"/>
                <w:lang w:val="en-US" w:eastAsia="zh-CN"/>
              </w:rPr>
              <w:t>党工委书记</w:t>
            </w:r>
          </w:p>
        </w:tc>
        <w:tc>
          <w:tcPr>
            <w:tcW w:w="1636" w:type="dxa"/>
            <w:tcBorders>
              <w:tl2br w:val="nil"/>
              <w:tr2bl w:val="nil"/>
            </w:tcBorders>
            <w:noWrap w:val="0"/>
            <w:vAlign w:val="center"/>
          </w:tcPr>
          <w:p w14:paraId="5A3664C4">
            <w:pPr>
              <w:spacing w:line="300" w:lineRule="atLeast"/>
              <w:jc w:val="center"/>
              <w:rPr>
                <w:rFonts w:hint="default"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13709450513</w:t>
            </w:r>
          </w:p>
        </w:tc>
      </w:tr>
      <w:tr w14:paraId="6432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tcBorders>
              <w:tl2br w:val="nil"/>
              <w:tr2bl w:val="nil"/>
            </w:tcBorders>
            <w:noWrap w:val="0"/>
            <w:vAlign w:val="center"/>
          </w:tcPr>
          <w:p w14:paraId="42B2FF7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509" w:type="dxa"/>
            <w:tcBorders>
              <w:tl2br w:val="nil"/>
              <w:tr2bl w:val="nil"/>
            </w:tcBorders>
            <w:noWrap w:val="0"/>
            <w:vAlign w:val="center"/>
          </w:tcPr>
          <w:p w14:paraId="3775BE38">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副组长</w:t>
            </w:r>
          </w:p>
        </w:tc>
        <w:tc>
          <w:tcPr>
            <w:tcW w:w="952" w:type="dxa"/>
            <w:tcBorders>
              <w:tl2br w:val="nil"/>
              <w:tr2bl w:val="nil"/>
            </w:tcBorders>
            <w:noWrap w:val="0"/>
            <w:vAlign w:val="center"/>
          </w:tcPr>
          <w:p w14:paraId="4BE51C06">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陈圣辉</w:t>
            </w:r>
          </w:p>
        </w:tc>
        <w:tc>
          <w:tcPr>
            <w:tcW w:w="2860" w:type="dxa"/>
            <w:tcBorders>
              <w:tl2br w:val="nil"/>
              <w:tr2bl w:val="nil"/>
            </w:tcBorders>
            <w:noWrap w:val="0"/>
            <w:vAlign w:val="center"/>
          </w:tcPr>
          <w:p w14:paraId="618BA7F8">
            <w:pPr>
              <w:spacing w:line="300" w:lineRule="atLeas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白鹤</w:t>
            </w:r>
            <w:r>
              <w:rPr>
                <w:rFonts w:hint="eastAsia" w:ascii="宋体" w:hAnsi="宋体" w:eastAsia="宋体" w:cs="宋体"/>
                <w:sz w:val="21"/>
                <w:szCs w:val="21"/>
                <w:lang w:val="en-US" w:eastAsia="zh-CN"/>
              </w:rPr>
              <w:t>街道办事处主任</w:t>
            </w:r>
          </w:p>
        </w:tc>
        <w:tc>
          <w:tcPr>
            <w:tcW w:w="1636" w:type="dxa"/>
            <w:tcBorders>
              <w:tl2br w:val="nil"/>
              <w:tr2bl w:val="nil"/>
            </w:tcBorders>
            <w:noWrap w:val="0"/>
            <w:vAlign w:val="center"/>
          </w:tcPr>
          <w:p w14:paraId="41E5EA6C">
            <w:pPr>
              <w:spacing w:line="300" w:lineRule="atLeas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13594773758</w:t>
            </w:r>
          </w:p>
        </w:tc>
      </w:tr>
      <w:tr w14:paraId="772C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106EBEDF">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509" w:type="dxa"/>
            <w:vMerge w:val="restart"/>
            <w:noWrap w:val="0"/>
            <w:vAlign w:val="center"/>
          </w:tcPr>
          <w:p w14:paraId="5FCFDFE4">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r>
              <w:rPr>
                <w:rFonts w:hint="eastAsia" w:ascii="宋体" w:hAnsi="宋体" w:eastAsia="宋体" w:cs="宋体"/>
                <w:b w:val="0"/>
                <w:bCs w:val="0"/>
                <w:color w:val="auto"/>
                <w:sz w:val="21"/>
                <w:szCs w:val="21"/>
                <w:vertAlign w:val="baseline"/>
                <w:lang w:eastAsia="zh-CN"/>
              </w:rPr>
              <w:t>成员</w:t>
            </w:r>
          </w:p>
        </w:tc>
        <w:tc>
          <w:tcPr>
            <w:tcW w:w="952" w:type="dxa"/>
            <w:noWrap w:val="0"/>
            <w:vAlign w:val="center"/>
          </w:tcPr>
          <w:p w14:paraId="1123A7A9">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曹昌光</w:t>
            </w:r>
          </w:p>
        </w:tc>
        <w:tc>
          <w:tcPr>
            <w:tcW w:w="2860" w:type="dxa"/>
            <w:noWrap w:val="0"/>
            <w:vAlign w:val="center"/>
          </w:tcPr>
          <w:p w14:paraId="1DBCA8B7">
            <w:pPr>
              <w:spacing w:line="300" w:lineRule="atLeas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白鹤街道</w:t>
            </w:r>
            <w:r>
              <w:rPr>
                <w:rFonts w:hint="eastAsia" w:ascii="宋体" w:hAnsi="宋体" w:eastAsia="宋体" w:cs="宋体"/>
                <w:sz w:val="21"/>
                <w:szCs w:val="21"/>
                <w:lang w:val="en-US" w:eastAsia="zh-CN"/>
              </w:rPr>
              <w:t>人大工委主任</w:t>
            </w:r>
          </w:p>
        </w:tc>
        <w:tc>
          <w:tcPr>
            <w:tcW w:w="1636" w:type="dxa"/>
            <w:noWrap w:val="0"/>
            <w:vAlign w:val="center"/>
          </w:tcPr>
          <w:p w14:paraId="6C1A5209">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13638263533</w:t>
            </w:r>
          </w:p>
        </w:tc>
      </w:tr>
      <w:tr w14:paraId="1CC4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34AFF8BE">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509" w:type="dxa"/>
            <w:vMerge w:val="continue"/>
            <w:noWrap w:val="0"/>
            <w:vAlign w:val="center"/>
          </w:tcPr>
          <w:p w14:paraId="5236215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952" w:type="dxa"/>
            <w:noWrap w:val="0"/>
            <w:vAlign w:val="center"/>
          </w:tcPr>
          <w:p w14:paraId="2995BBA6">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向辉</w:t>
            </w:r>
          </w:p>
        </w:tc>
        <w:tc>
          <w:tcPr>
            <w:tcW w:w="2860" w:type="dxa"/>
            <w:noWrap w:val="0"/>
            <w:vAlign w:val="center"/>
          </w:tcPr>
          <w:p w14:paraId="73DD4713">
            <w:pPr>
              <w:spacing w:line="300" w:lineRule="atLeas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白鹤街道</w:t>
            </w:r>
            <w:r>
              <w:rPr>
                <w:rFonts w:hint="eastAsia" w:ascii="宋体" w:hAnsi="宋体" w:eastAsia="宋体" w:cs="宋体"/>
                <w:sz w:val="21"/>
                <w:szCs w:val="21"/>
                <w:lang w:val="en-US" w:eastAsia="zh-CN"/>
              </w:rPr>
              <w:t>党工委副书记</w:t>
            </w:r>
          </w:p>
        </w:tc>
        <w:tc>
          <w:tcPr>
            <w:tcW w:w="1636" w:type="dxa"/>
            <w:noWrap w:val="0"/>
            <w:vAlign w:val="center"/>
          </w:tcPr>
          <w:p w14:paraId="20EB0914">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13983750581</w:t>
            </w:r>
          </w:p>
        </w:tc>
      </w:tr>
      <w:tr w14:paraId="022B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0DA778AD">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509" w:type="dxa"/>
            <w:vMerge w:val="continue"/>
            <w:noWrap w:val="0"/>
            <w:vAlign w:val="center"/>
          </w:tcPr>
          <w:p w14:paraId="3CB2AEE8">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952" w:type="dxa"/>
            <w:noWrap w:val="0"/>
            <w:vAlign w:val="center"/>
          </w:tcPr>
          <w:p w14:paraId="0D02B1EB">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沈文</w:t>
            </w:r>
          </w:p>
        </w:tc>
        <w:tc>
          <w:tcPr>
            <w:tcW w:w="2860" w:type="dxa"/>
            <w:noWrap w:val="0"/>
            <w:vAlign w:val="center"/>
          </w:tcPr>
          <w:p w14:paraId="2395EA29">
            <w:pPr>
              <w:spacing w:line="300" w:lineRule="atLeas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白鹤</w:t>
            </w:r>
            <w:r>
              <w:rPr>
                <w:rFonts w:hint="eastAsia" w:ascii="宋体" w:hAnsi="宋体" w:eastAsia="宋体" w:cs="宋体"/>
                <w:sz w:val="21"/>
                <w:szCs w:val="21"/>
                <w:lang w:val="en-US" w:eastAsia="zh-CN"/>
              </w:rPr>
              <w:t>街道办事处副主任</w:t>
            </w:r>
          </w:p>
        </w:tc>
        <w:tc>
          <w:tcPr>
            <w:tcW w:w="1636" w:type="dxa"/>
            <w:noWrap w:val="0"/>
            <w:vAlign w:val="center"/>
          </w:tcPr>
          <w:p w14:paraId="735E43BF">
            <w:pPr>
              <w:spacing w:line="300" w:lineRule="atLeas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15223509969</w:t>
            </w:r>
          </w:p>
        </w:tc>
      </w:tr>
      <w:tr w14:paraId="75BD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2BA15B07">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509" w:type="dxa"/>
            <w:vMerge w:val="continue"/>
            <w:noWrap w:val="0"/>
            <w:vAlign w:val="center"/>
          </w:tcPr>
          <w:p w14:paraId="0BE76F5D">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952" w:type="dxa"/>
            <w:noWrap w:val="0"/>
            <w:vAlign w:val="center"/>
          </w:tcPr>
          <w:p w14:paraId="175C6F15">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高意畅</w:t>
            </w:r>
          </w:p>
        </w:tc>
        <w:tc>
          <w:tcPr>
            <w:tcW w:w="2860" w:type="dxa"/>
            <w:noWrap w:val="0"/>
            <w:vAlign w:val="center"/>
          </w:tcPr>
          <w:p w14:paraId="145BB116">
            <w:pPr>
              <w:spacing w:line="300" w:lineRule="atLeas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白鹤</w:t>
            </w:r>
            <w:r>
              <w:rPr>
                <w:rFonts w:hint="eastAsia" w:ascii="宋体" w:hAnsi="宋体" w:eastAsia="宋体" w:cs="宋体"/>
                <w:sz w:val="21"/>
                <w:szCs w:val="21"/>
                <w:lang w:val="en-US" w:eastAsia="zh-CN"/>
              </w:rPr>
              <w:t>街道办事处副主任</w:t>
            </w:r>
          </w:p>
        </w:tc>
        <w:tc>
          <w:tcPr>
            <w:tcW w:w="1636" w:type="dxa"/>
            <w:noWrap w:val="0"/>
            <w:vAlign w:val="center"/>
          </w:tcPr>
          <w:p w14:paraId="505BBC92">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13594871107</w:t>
            </w:r>
          </w:p>
        </w:tc>
      </w:tr>
      <w:tr w14:paraId="0275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7D822F06">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509" w:type="dxa"/>
            <w:vMerge w:val="continue"/>
            <w:noWrap w:val="0"/>
            <w:vAlign w:val="center"/>
          </w:tcPr>
          <w:p w14:paraId="07301D9D">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952" w:type="dxa"/>
            <w:noWrap w:val="0"/>
            <w:vAlign w:val="center"/>
          </w:tcPr>
          <w:p w14:paraId="2926DD3E">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胡彪</w:t>
            </w:r>
          </w:p>
        </w:tc>
        <w:tc>
          <w:tcPr>
            <w:tcW w:w="2860" w:type="dxa"/>
            <w:noWrap w:val="0"/>
            <w:vAlign w:val="center"/>
          </w:tcPr>
          <w:p w14:paraId="0DFD8599">
            <w:pPr>
              <w:spacing w:line="300" w:lineRule="atLeas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白鹤</w:t>
            </w:r>
            <w:r>
              <w:rPr>
                <w:rFonts w:hint="eastAsia" w:ascii="宋体" w:hAnsi="宋体" w:eastAsia="宋体" w:cs="宋体"/>
                <w:sz w:val="21"/>
                <w:szCs w:val="21"/>
                <w:lang w:val="en-US" w:eastAsia="zh-CN"/>
              </w:rPr>
              <w:t>街道办事处副主任</w:t>
            </w:r>
          </w:p>
        </w:tc>
        <w:tc>
          <w:tcPr>
            <w:tcW w:w="1636" w:type="dxa"/>
            <w:noWrap w:val="0"/>
            <w:vAlign w:val="center"/>
          </w:tcPr>
          <w:p w14:paraId="1C072312">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13594463108</w:t>
            </w:r>
          </w:p>
        </w:tc>
      </w:tr>
      <w:tr w14:paraId="2652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515849C7">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1509" w:type="dxa"/>
            <w:vMerge w:val="continue"/>
            <w:noWrap w:val="0"/>
            <w:vAlign w:val="center"/>
          </w:tcPr>
          <w:p w14:paraId="502C6430">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eastAsia="zh-CN"/>
              </w:rPr>
            </w:pPr>
          </w:p>
        </w:tc>
        <w:tc>
          <w:tcPr>
            <w:tcW w:w="952" w:type="dxa"/>
            <w:noWrap w:val="0"/>
            <w:vAlign w:val="center"/>
          </w:tcPr>
          <w:p w14:paraId="5655709D">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曾德圣</w:t>
            </w:r>
          </w:p>
        </w:tc>
        <w:tc>
          <w:tcPr>
            <w:tcW w:w="2860" w:type="dxa"/>
            <w:noWrap w:val="0"/>
            <w:vAlign w:val="center"/>
          </w:tcPr>
          <w:p w14:paraId="3AF2513F">
            <w:pPr>
              <w:spacing w:line="300" w:lineRule="atLeas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白鹤街道</w:t>
            </w:r>
            <w:r>
              <w:rPr>
                <w:rFonts w:hint="eastAsia" w:ascii="宋体" w:hAnsi="宋体" w:eastAsia="宋体" w:cs="宋体"/>
                <w:sz w:val="21"/>
                <w:szCs w:val="21"/>
                <w:lang w:val="en-US" w:eastAsia="zh-CN"/>
              </w:rPr>
              <w:t>纪工委书记</w:t>
            </w:r>
          </w:p>
        </w:tc>
        <w:tc>
          <w:tcPr>
            <w:tcW w:w="1636" w:type="dxa"/>
            <w:noWrap w:val="0"/>
            <w:vAlign w:val="center"/>
          </w:tcPr>
          <w:p w14:paraId="0C2E6191">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13996768693</w:t>
            </w:r>
          </w:p>
        </w:tc>
      </w:tr>
      <w:tr w14:paraId="33AF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16F59BA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509" w:type="dxa"/>
            <w:vMerge w:val="continue"/>
            <w:noWrap w:val="0"/>
            <w:vAlign w:val="center"/>
          </w:tcPr>
          <w:p w14:paraId="3606984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952" w:type="dxa"/>
            <w:noWrap w:val="0"/>
            <w:vAlign w:val="center"/>
          </w:tcPr>
          <w:p w14:paraId="65AC9651">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彭丽珠</w:t>
            </w:r>
          </w:p>
        </w:tc>
        <w:tc>
          <w:tcPr>
            <w:tcW w:w="2860" w:type="dxa"/>
            <w:noWrap w:val="0"/>
            <w:vAlign w:val="center"/>
          </w:tcPr>
          <w:p w14:paraId="4E1D86C9">
            <w:pPr>
              <w:spacing w:line="300" w:lineRule="atLeas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白鹤</w:t>
            </w:r>
            <w:r>
              <w:rPr>
                <w:rFonts w:hint="eastAsia" w:ascii="宋体" w:hAnsi="宋体" w:eastAsia="宋体" w:cs="宋体"/>
                <w:sz w:val="21"/>
                <w:szCs w:val="21"/>
                <w:lang w:val="en-US" w:eastAsia="zh-CN"/>
              </w:rPr>
              <w:t>街道办事处副主任</w:t>
            </w:r>
          </w:p>
        </w:tc>
        <w:tc>
          <w:tcPr>
            <w:tcW w:w="1636" w:type="dxa"/>
            <w:noWrap w:val="0"/>
            <w:vAlign w:val="center"/>
          </w:tcPr>
          <w:p w14:paraId="56D55705">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13594714999</w:t>
            </w:r>
          </w:p>
        </w:tc>
      </w:tr>
      <w:tr w14:paraId="0B9F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4C805FBA">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509" w:type="dxa"/>
            <w:vMerge w:val="continue"/>
            <w:noWrap w:val="0"/>
            <w:vAlign w:val="center"/>
          </w:tcPr>
          <w:p w14:paraId="4FCE1A5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952" w:type="dxa"/>
            <w:noWrap w:val="0"/>
            <w:vAlign w:val="center"/>
          </w:tcPr>
          <w:p w14:paraId="286D8D19">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任青青</w:t>
            </w:r>
          </w:p>
        </w:tc>
        <w:tc>
          <w:tcPr>
            <w:tcW w:w="2860" w:type="dxa"/>
            <w:noWrap w:val="0"/>
            <w:vAlign w:val="center"/>
          </w:tcPr>
          <w:p w14:paraId="5FF457A4">
            <w:pPr>
              <w:spacing w:line="300" w:lineRule="atLeas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白鹤</w:t>
            </w:r>
            <w:r>
              <w:rPr>
                <w:rFonts w:hint="eastAsia" w:ascii="宋体" w:hAnsi="宋体" w:eastAsia="宋体" w:cs="宋体"/>
                <w:sz w:val="21"/>
                <w:szCs w:val="21"/>
                <w:lang w:val="en-US" w:eastAsia="zh-CN"/>
              </w:rPr>
              <w:t>街道党工委宣传委员</w:t>
            </w:r>
          </w:p>
        </w:tc>
        <w:tc>
          <w:tcPr>
            <w:tcW w:w="1636" w:type="dxa"/>
            <w:noWrap w:val="0"/>
            <w:vAlign w:val="center"/>
          </w:tcPr>
          <w:p w14:paraId="72CF9213">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15808052959</w:t>
            </w:r>
          </w:p>
        </w:tc>
      </w:tr>
      <w:tr w14:paraId="5E47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6D906BB7">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509" w:type="dxa"/>
            <w:vMerge w:val="continue"/>
            <w:noWrap w:val="0"/>
            <w:vAlign w:val="center"/>
          </w:tcPr>
          <w:p w14:paraId="4F19A067">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952" w:type="dxa"/>
            <w:noWrap w:val="0"/>
            <w:vAlign w:val="center"/>
          </w:tcPr>
          <w:p w14:paraId="72934AE0">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陈仲威</w:t>
            </w:r>
          </w:p>
        </w:tc>
        <w:tc>
          <w:tcPr>
            <w:tcW w:w="2860" w:type="dxa"/>
            <w:noWrap w:val="0"/>
            <w:vAlign w:val="center"/>
          </w:tcPr>
          <w:p w14:paraId="6B06538A">
            <w:pPr>
              <w:spacing w:line="300" w:lineRule="atLeast"/>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白鹤</w:t>
            </w:r>
            <w:r>
              <w:rPr>
                <w:rFonts w:hint="eastAsia" w:ascii="宋体" w:hAnsi="宋体" w:eastAsia="宋体" w:cs="宋体"/>
                <w:sz w:val="21"/>
                <w:szCs w:val="21"/>
                <w:lang w:val="en-US" w:eastAsia="zh-CN"/>
              </w:rPr>
              <w:t>街道组织委员</w:t>
            </w:r>
          </w:p>
        </w:tc>
        <w:tc>
          <w:tcPr>
            <w:tcW w:w="1636" w:type="dxa"/>
            <w:noWrap w:val="0"/>
            <w:vAlign w:val="center"/>
          </w:tcPr>
          <w:p w14:paraId="0D8E3650">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13658339404</w:t>
            </w:r>
          </w:p>
        </w:tc>
      </w:tr>
      <w:tr w14:paraId="323C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continue"/>
            <w:noWrap w:val="0"/>
            <w:vAlign w:val="center"/>
          </w:tcPr>
          <w:p w14:paraId="345A84A5">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509" w:type="dxa"/>
            <w:vMerge w:val="continue"/>
            <w:noWrap w:val="0"/>
            <w:vAlign w:val="center"/>
          </w:tcPr>
          <w:p w14:paraId="3211D9A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952" w:type="dxa"/>
            <w:noWrap w:val="0"/>
            <w:vAlign w:val="center"/>
          </w:tcPr>
          <w:p w14:paraId="1D781045">
            <w:pPr>
              <w:spacing w:line="300" w:lineRule="atLeas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魏久中</w:t>
            </w:r>
          </w:p>
        </w:tc>
        <w:tc>
          <w:tcPr>
            <w:tcW w:w="2860" w:type="dxa"/>
            <w:noWrap w:val="0"/>
            <w:vAlign w:val="center"/>
          </w:tcPr>
          <w:p w14:paraId="420E4A7C">
            <w:pPr>
              <w:spacing w:line="30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红亮社区</w:t>
            </w:r>
            <w:r>
              <w:rPr>
                <w:rFonts w:hint="eastAsia" w:ascii="宋体" w:hAnsi="宋体" w:cs="宋体"/>
                <w:sz w:val="21"/>
                <w:szCs w:val="21"/>
                <w:lang w:val="en-US" w:eastAsia="zh-CN"/>
              </w:rPr>
              <w:t>支部</w:t>
            </w:r>
            <w:r>
              <w:rPr>
                <w:rFonts w:hint="eastAsia" w:ascii="宋体" w:hAnsi="宋体" w:eastAsia="宋体" w:cs="宋体"/>
                <w:sz w:val="21"/>
                <w:szCs w:val="21"/>
                <w:lang w:val="en-US" w:eastAsia="zh-CN"/>
              </w:rPr>
              <w:t>书记</w:t>
            </w:r>
          </w:p>
        </w:tc>
        <w:tc>
          <w:tcPr>
            <w:tcW w:w="1636" w:type="dxa"/>
            <w:noWrap w:val="0"/>
            <w:vAlign w:val="center"/>
          </w:tcPr>
          <w:p w14:paraId="429FB2EE">
            <w:pPr>
              <w:spacing w:line="300" w:lineRule="atLeas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13594822888</w:t>
            </w:r>
          </w:p>
        </w:tc>
      </w:tr>
      <w:tr w14:paraId="071E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restart"/>
            <w:noWrap w:val="0"/>
            <w:vAlign w:val="center"/>
          </w:tcPr>
          <w:p w14:paraId="010E1DCC">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现场处置组</w:t>
            </w:r>
          </w:p>
        </w:tc>
        <w:tc>
          <w:tcPr>
            <w:tcW w:w="1509" w:type="dxa"/>
            <w:noWrap w:val="0"/>
            <w:vAlign w:val="center"/>
          </w:tcPr>
          <w:p w14:paraId="2D2C1BE6">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组长</w:t>
            </w:r>
          </w:p>
        </w:tc>
        <w:tc>
          <w:tcPr>
            <w:tcW w:w="952" w:type="dxa"/>
            <w:noWrap w:val="0"/>
            <w:vAlign w:val="center"/>
          </w:tcPr>
          <w:p w14:paraId="6AE5F6BD">
            <w:pPr>
              <w:spacing w:line="30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胡彪</w:t>
            </w:r>
          </w:p>
        </w:tc>
        <w:tc>
          <w:tcPr>
            <w:tcW w:w="2860" w:type="dxa"/>
            <w:noWrap w:val="0"/>
            <w:vAlign w:val="center"/>
          </w:tcPr>
          <w:p w14:paraId="3A5BD616">
            <w:pPr>
              <w:spacing w:line="30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白鹤街道办事处副主任</w:t>
            </w:r>
          </w:p>
        </w:tc>
        <w:tc>
          <w:tcPr>
            <w:tcW w:w="1636" w:type="dxa"/>
            <w:noWrap w:val="0"/>
            <w:vAlign w:val="center"/>
          </w:tcPr>
          <w:p w14:paraId="7220CA26">
            <w:pPr>
              <w:spacing w:line="30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13594463108</w:t>
            </w:r>
          </w:p>
        </w:tc>
      </w:tr>
      <w:tr w14:paraId="5290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trPr>
        <w:tc>
          <w:tcPr>
            <w:tcW w:w="1547" w:type="dxa"/>
            <w:vMerge w:val="continue"/>
            <w:noWrap w:val="0"/>
            <w:vAlign w:val="center"/>
          </w:tcPr>
          <w:p w14:paraId="6E44BCE9">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509" w:type="dxa"/>
            <w:vMerge w:val="restart"/>
            <w:noWrap w:val="0"/>
            <w:vAlign w:val="center"/>
          </w:tcPr>
          <w:p w14:paraId="0F4C4735">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成员</w:t>
            </w:r>
          </w:p>
        </w:tc>
        <w:tc>
          <w:tcPr>
            <w:tcW w:w="952" w:type="dxa"/>
            <w:noWrap w:val="0"/>
            <w:vAlign w:val="center"/>
          </w:tcPr>
          <w:p w14:paraId="081C3098">
            <w:pPr>
              <w:spacing w:line="30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陈宏亮</w:t>
            </w:r>
          </w:p>
        </w:tc>
        <w:tc>
          <w:tcPr>
            <w:tcW w:w="2860" w:type="dxa"/>
            <w:noWrap w:val="0"/>
            <w:vAlign w:val="center"/>
          </w:tcPr>
          <w:p w14:paraId="6B5EF9B6">
            <w:pPr>
              <w:spacing w:line="30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白鹤街道园区服务中心副主任</w:t>
            </w:r>
          </w:p>
        </w:tc>
        <w:tc>
          <w:tcPr>
            <w:tcW w:w="1636" w:type="dxa"/>
            <w:noWrap w:val="0"/>
            <w:vAlign w:val="center"/>
          </w:tcPr>
          <w:p w14:paraId="054247D5">
            <w:pPr>
              <w:spacing w:line="30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17783638155</w:t>
            </w:r>
          </w:p>
        </w:tc>
      </w:tr>
      <w:tr w14:paraId="4E37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trPr>
        <w:tc>
          <w:tcPr>
            <w:tcW w:w="1547" w:type="dxa"/>
            <w:vMerge w:val="continue"/>
            <w:noWrap w:val="0"/>
            <w:vAlign w:val="center"/>
          </w:tcPr>
          <w:p w14:paraId="2A9EB776">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509" w:type="dxa"/>
            <w:vMerge w:val="continue"/>
            <w:noWrap w:val="0"/>
            <w:vAlign w:val="center"/>
          </w:tcPr>
          <w:p w14:paraId="3D47063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952" w:type="dxa"/>
            <w:noWrap w:val="0"/>
            <w:vAlign w:val="center"/>
          </w:tcPr>
          <w:p w14:paraId="3B267452">
            <w:pPr>
              <w:spacing w:line="30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田学才</w:t>
            </w:r>
          </w:p>
        </w:tc>
        <w:tc>
          <w:tcPr>
            <w:tcW w:w="2860" w:type="dxa"/>
            <w:noWrap w:val="0"/>
            <w:vAlign w:val="center"/>
          </w:tcPr>
          <w:p w14:paraId="7A28236A">
            <w:pPr>
              <w:spacing w:line="30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白鹤街道园区服务中心工作人员</w:t>
            </w:r>
          </w:p>
        </w:tc>
        <w:tc>
          <w:tcPr>
            <w:tcW w:w="1636" w:type="dxa"/>
            <w:noWrap w:val="0"/>
            <w:vAlign w:val="center"/>
          </w:tcPr>
          <w:p w14:paraId="3988230C">
            <w:pPr>
              <w:spacing w:line="30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13609451689</w:t>
            </w:r>
          </w:p>
        </w:tc>
      </w:tr>
      <w:tr w14:paraId="5FD8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restart"/>
            <w:noWrap w:val="0"/>
            <w:vAlign w:val="center"/>
          </w:tcPr>
          <w:p w14:paraId="1A12E8A7">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综合协调组</w:t>
            </w:r>
          </w:p>
        </w:tc>
        <w:tc>
          <w:tcPr>
            <w:tcW w:w="1509" w:type="dxa"/>
            <w:noWrap w:val="0"/>
            <w:vAlign w:val="center"/>
          </w:tcPr>
          <w:p w14:paraId="7BFF89D4">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组长</w:t>
            </w:r>
          </w:p>
        </w:tc>
        <w:tc>
          <w:tcPr>
            <w:tcW w:w="952" w:type="dxa"/>
            <w:noWrap w:val="0"/>
            <w:vAlign w:val="center"/>
          </w:tcPr>
          <w:p w14:paraId="4C40CBDC">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向辉</w:t>
            </w:r>
          </w:p>
        </w:tc>
        <w:tc>
          <w:tcPr>
            <w:tcW w:w="2860" w:type="dxa"/>
            <w:noWrap w:val="0"/>
            <w:vAlign w:val="center"/>
          </w:tcPr>
          <w:p w14:paraId="16ADEFB8">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白鹤街道党工委副书记</w:t>
            </w:r>
          </w:p>
        </w:tc>
        <w:tc>
          <w:tcPr>
            <w:tcW w:w="1636" w:type="dxa"/>
            <w:noWrap w:val="0"/>
            <w:vAlign w:val="center"/>
          </w:tcPr>
          <w:p w14:paraId="5A2813F3">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13983750581</w:t>
            </w:r>
          </w:p>
        </w:tc>
      </w:tr>
      <w:tr w14:paraId="7862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trPr>
        <w:tc>
          <w:tcPr>
            <w:tcW w:w="1547" w:type="dxa"/>
            <w:vMerge w:val="continue"/>
            <w:noWrap w:val="0"/>
            <w:vAlign w:val="center"/>
          </w:tcPr>
          <w:p w14:paraId="62CD8B6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509" w:type="dxa"/>
            <w:vMerge w:val="restart"/>
            <w:noWrap w:val="0"/>
            <w:vAlign w:val="center"/>
          </w:tcPr>
          <w:p w14:paraId="04728A4E">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成员</w:t>
            </w:r>
          </w:p>
        </w:tc>
        <w:tc>
          <w:tcPr>
            <w:tcW w:w="952" w:type="dxa"/>
            <w:noWrap w:val="0"/>
            <w:vAlign w:val="center"/>
          </w:tcPr>
          <w:p w14:paraId="5A660677">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胡新</w:t>
            </w:r>
          </w:p>
        </w:tc>
        <w:tc>
          <w:tcPr>
            <w:tcW w:w="2860" w:type="dxa"/>
            <w:noWrap w:val="0"/>
            <w:vAlign w:val="center"/>
          </w:tcPr>
          <w:p w14:paraId="728409E6">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白鹤街道基层指挥中心</w:t>
            </w:r>
            <w:r>
              <w:rPr>
                <w:rFonts w:hint="eastAsia" w:ascii="宋体" w:hAnsi="宋体" w:cs="宋体"/>
                <w:sz w:val="21"/>
                <w:szCs w:val="21"/>
                <w:lang w:val="en-US" w:eastAsia="zh-CN"/>
              </w:rPr>
              <w:t>办公室</w:t>
            </w:r>
            <w:r>
              <w:rPr>
                <w:rFonts w:hint="eastAsia" w:ascii="宋体" w:hAnsi="宋体" w:eastAsia="宋体" w:cs="宋体"/>
                <w:sz w:val="21"/>
                <w:szCs w:val="21"/>
                <w:lang w:val="en-US" w:eastAsia="zh-CN"/>
              </w:rPr>
              <w:t>主任</w:t>
            </w:r>
          </w:p>
        </w:tc>
        <w:tc>
          <w:tcPr>
            <w:tcW w:w="1636" w:type="dxa"/>
            <w:noWrap w:val="0"/>
            <w:vAlign w:val="center"/>
          </w:tcPr>
          <w:p w14:paraId="6AD02049">
            <w:pPr>
              <w:spacing w:line="300" w:lineRule="atLeas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19132812221</w:t>
            </w:r>
          </w:p>
        </w:tc>
      </w:tr>
      <w:tr w14:paraId="3A43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exact"/>
        </w:trPr>
        <w:tc>
          <w:tcPr>
            <w:tcW w:w="1547" w:type="dxa"/>
            <w:vMerge w:val="continue"/>
            <w:noWrap w:val="0"/>
            <w:vAlign w:val="center"/>
          </w:tcPr>
          <w:p w14:paraId="7D104CB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509" w:type="dxa"/>
            <w:vMerge w:val="continue"/>
            <w:noWrap w:val="0"/>
            <w:vAlign w:val="center"/>
          </w:tcPr>
          <w:p w14:paraId="3543BE67">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952" w:type="dxa"/>
            <w:noWrap w:val="0"/>
            <w:vAlign w:val="center"/>
          </w:tcPr>
          <w:p w14:paraId="11F10108">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韩萌</w:t>
            </w:r>
          </w:p>
        </w:tc>
        <w:tc>
          <w:tcPr>
            <w:tcW w:w="2860" w:type="dxa"/>
            <w:noWrap w:val="0"/>
            <w:vAlign w:val="center"/>
          </w:tcPr>
          <w:p w14:paraId="5A11A9E8">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白鹤街道经济发展</w:t>
            </w:r>
            <w:r>
              <w:rPr>
                <w:rFonts w:hint="eastAsia" w:ascii="宋体" w:hAnsi="宋体" w:cs="宋体"/>
                <w:sz w:val="21"/>
                <w:szCs w:val="21"/>
                <w:lang w:val="en-US" w:eastAsia="zh-CN"/>
              </w:rPr>
              <w:t>办公室</w:t>
            </w:r>
            <w:r>
              <w:rPr>
                <w:rFonts w:hint="eastAsia" w:ascii="宋体" w:hAnsi="宋体" w:eastAsia="宋体" w:cs="宋体"/>
                <w:sz w:val="21"/>
                <w:szCs w:val="21"/>
                <w:lang w:val="en-US" w:eastAsia="zh-CN"/>
              </w:rPr>
              <w:t>主任</w:t>
            </w:r>
          </w:p>
        </w:tc>
        <w:tc>
          <w:tcPr>
            <w:tcW w:w="1636" w:type="dxa"/>
            <w:noWrap w:val="0"/>
            <w:vAlign w:val="center"/>
          </w:tcPr>
          <w:p w14:paraId="43805D20">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18315092899</w:t>
            </w:r>
          </w:p>
        </w:tc>
      </w:tr>
      <w:tr w14:paraId="5EFA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47" w:type="dxa"/>
            <w:vMerge w:val="restart"/>
            <w:noWrap w:val="0"/>
            <w:vAlign w:val="center"/>
          </w:tcPr>
          <w:p w14:paraId="0618181D">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eastAsia="zh-CN"/>
              </w:rPr>
              <w:t>警戒疏散组</w:t>
            </w:r>
          </w:p>
        </w:tc>
        <w:tc>
          <w:tcPr>
            <w:tcW w:w="1509" w:type="dxa"/>
            <w:noWrap w:val="0"/>
            <w:vAlign w:val="center"/>
          </w:tcPr>
          <w:p w14:paraId="5AE1E56E">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组长</w:t>
            </w:r>
          </w:p>
        </w:tc>
        <w:tc>
          <w:tcPr>
            <w:tcW w:w="952" w:type="dxa"/>
            <w:noWrap w:val="0"/>
            <w:vAlign w:val="center"/>
          </w:tcPr>
          <w:p w14:paraId="5C00B635">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沈文</w:t>
            </w:r>
          </w:p>
        </w:tc>
        <w:tc>
          <w:tcPr>
            <w:tcW w:w="2860" w:type="dxa"/>
            <w:noWrap w:val="0"/>
            <w:vAlign w:val="center"/>
          </w:tcPr>
          <w:p w14:paraId="61294D2C">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白鹤街道办事处副主任</w:t>
            </w:r>
          </w:p>
        </w:tc>
        <w:tc>
          <w:tcPr>
            <w:tcW w:w="1636" w:type="dxa"/>
            <w:noWrap w:val="0"/>
            <w:vAlign w:val="center"/>
          </w:tcPr>
          <w:p w14:paraId="39520E6F">
            <w:pPr>
              <w:spacing w:line="300" w:lineRule="atLeas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15223509969</w:t>
            </w:r>
          </w:p>
        </w:tc>
      </w:tr>
      <w:tr w14:paraId="6EA2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trPr>
        <w:tc>
          <w:tcPr>
            <w:tcW w:w="1547" w:type="dxa"/>
            <w:vMerge w:val="continue"/>
            <w:noWrap w:val="0"/>
            <w:vAlign w:val="center"/>
          </w:tcPr>
          <w:p w14:paraId="12DF02BC">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509" w:type="dxa"/>
            <w:vMerge w:val="restart"/>
            <w:noWrap w:val="0"/>
            <w:vAlign w:val="center"/>
          </w:tcPr>
          <w:p w14:paraId="043195B7">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成员</w:t>
            </w:r>
          </w:p>
        </w:tc>
        <w:tc>
          <w:tcPr>
            <w:tcW w:w="952" w:type="dxa"/>
            <w:noWrap w:val="0"/>
            <w:vAlign w:val="center"/>
          </w:tcPr>
          <w:p w14:paraId="628AE856">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傅强</w:t>
            </w:r>
          </w:p>
        </w:tc>
        <w:tc>
          <w:tcPr>
            <w:tcW w:w="2860" w:type="dxa"/>
            <w:noWrap w:val="0"/>
            <w:vAlign w:val="center"/>
          </w:tcPr>
          <w:p w14:paraId="0AD3C93B">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白鹤街道综合行政执法大队大队长</w:t>
            </w:r>
          </w:p>
        </w:tc>
        <w:tc>
          <w:tcPr>
            <w:tcW w:w="1636" w:type="dxa"/>
            <w:noWrap w:val="0"/>
            <w:vAlign w:val="center"/>
          </w:tcPr>
          <w:p w14:paraId="66F953D0">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13908265280</w:t>
            </w:r>
          </w:p>
        </w:tc>
      </w:tr>
      <w:tr w14:paraId="1425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trPr>
        <w:tc>
          <w:tcPr>
            <w:tcW w:w="1547" w:type="dxa"/>
            <w:vMerge w:val="continue"/>
            <w:noWrap w:val="0"/>
            <w:vAlign w:val="center"/>
          </w:tcPr>
          <w:p w14:paraId="6E7E7A23">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1509" w:type="dxa"/>
            <w:vMerge w:val="continue"/>
            <w:noWrap w:val="0"/>
            <w:vAlign w:val="center"/>
          </w:tcPr>
          <w:p w14:paraId="694B13F5">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vertAlign w:val="baseline"/>
                <w:lang w:val="en-US" w:eastAsia="zh-CN"/>
              </w:rPr>
            </w:pPr>
          </w:p>
        </w:tc>
        <w:tc>
          <w:tcPr>
            <w:tcW w:w="952" w:type="dxa"/>
            <w:noWrap w:val="0"/>
            <w:vAlign w:val="center"/>
          </w:tcPr>
          <w:p w14:paraId="286A8E77">
            <w:pPr>
              <w:spacing w:line="300" w:lineRule="atLeast"/>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eastAsia="zh-CN"/>
              </w:rPr>
              <w:t>刘</w:t>
            </w:r>
            <w:r>
              <w:rPr>
                <w:rFonts w:hint="eastAsia" w:ascii="宋体" w:hAnsi="宋体" w:cs="宋体"/>
                <w:sz w:val="21"/>
                <w:szCs w:val="21"/>
                <w:lang w:val="en-US" w:eastAsia="zh-CN"/>
              </w:rPr>
              <w:t>炼</w:t>
            </w:r>
          </w:p>
        </w:tc>
        <w:tc>
          <w:tcPr>
            <w:tcW w:w="2860" w:type="dxa"/>
            <w:noWrap w:val="0"/>
            <w:vAlign w:val="center"/>
          </w:tcPr>
          <w:p w14:paraId="41B853B3">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白鹤街道综合行政执法大队副队长</w:t>
            </w:r>
          </w:p>
        </w:tc>
        <w:tc>
          <w:tcPr>
            <w:tcW w:w="1636" w:type="dxa"/>
            <w:noWrap w:val="0"/>
            <w:vAlign w:val="center"/>
          </w:tcPr>
          <w:p w14:paraId="19FE29DE">
            <w:pPr>
              <w:spacing w:line="300" w:lineRule="atLeas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18580815097</w:t>
            </w:r>
          </w:p>
        </w:tc>
      </w:tr>
    </w:tbl>
    <w:p w14:paraId="57388F9A">
      <w:pPr>
        <w:widowControl/>
        <w:jc w:val="center"/>
        <w:rPr>
          <w:rFonts w:hint="eastAsia" w:ascii="宋体" w:hAnsi="宋体" w:cs="宋体"/>
          <w:b/>
          <w:bCs/>
          <w:color w:val="FF0000"/>
          <w:kern w:val="0"/>
          <w:sz w:val="24"/>
        </w:rPr>
      </w:pPr>
    </w:p>
    <w:p w14:paraId="188E2B4E">
      <w:pPr>
        <w:pStyle w:val="21"/>
        <w:rPr>
          <w:rFonts w:hint="eastAsia" w:ascii="宋体" w:hAnsi="宋体" w:cs="宋体"/>
          <w:b/>
          <w:bCs/>
          <w:color w:val="FF0000"/>
          <w:kern w:val="0"/>
          <w:sz w:val="24"/>
        </w:rPr>
      </w:pPr>
    </w:p>
    <w:p w14:paraId="7E78DF00">
      <w:pPr>
        <w:pStyle w:val="21"/>
        <w:rPr>
          <w:rFonts w:hint="eastAsia" w:ascii="宋体" w:hAnsi="宋体" w:cs="宋体"/>
          <w:b/>
          <w:bCs/>
          <w:color w:val="FF0000"/>
          <w:kern w:val="0"/>
          <w:sz w:val="24"/>
        </w:rPr>
      </w:pPr>
    </w:p>
    <w:p w14:paraId="67067AF6">
      <w:pPr>
        <w:widowControl/>
        <w:jc w:val="center"/>
        <w:rPr>
          <w:rFonts w:ascii="仿宋_GB2312" w:hAnsi="宋体" w:eastAsia="仿宋_GB2312" w:cs="宋体"/>
          <w:color w:val="FF0000"/>
          <w:kern w:val="0"/>
          <w:sz w:val="24"/>
        </w:rPr>
        <w:sectPr>
          <w:footerReference r:id="rId8" w:type="default"/>
          <w:pgSz w:w="11906" w:h="16838"/>
          <w:pgMar w:top="1327" w:right="1412" w:bottom="1327" w:left="1406" w:header="720" w:footer="720" w:gutter="0"/>
          <w:pgNumType w:fmt="decimal" w:start="1"/>
          <w:cols w:space="720" w:num="1"/>
          <w:docGrid w:type="lines" w:linePitch="312" w:charSpace="0"/>
        </w:sectPr>
      </w:pPr>
    </w:p>
    <w:p w14:paraId="6D9AF4A3">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50" w:name="_Toc21682"/>
      <w:bookmarkStart w:id="151" w:name="_Toc4856"/>
      <w:bookmarkStart w:id="152" w:name="_Toc11328"/>
      <w:r>
        <w:rPr>
          <w:rFonts w:hint="eastAsia" w:ascii="宋体" w:hAnsi="宋体" w:eastAsia="宋体" w:cs="宋体"/>
          <w:color w:val="auto"/>
          <w:sz w:val="28"/>
          <w:szCs w:val="28"/>
          <w:lang w:val="en-US" w:eastAsia="zh-CN"/>
        </w:rPr>
        <w:t>附件</w:t>
      </w:r>
      <w:bookmarkEnd w:id="150"/>
      <w:r>
        <w:rPr>
          <w:rFonts w:hint="eastAsia" w:ascii="宋体" w:hAnsi="宋体" w:eastAsia="宋体" w:cs="宋体"/>
          <w:color w:val="auto"/>
          <w:sz w:val="28"/>
          <w:szCs w:val="28"/>
          <w:lang w:val="en-US" w:eastAsia="zh-CN"/>
        </w:rPr>
        <w:t>2：白鹤街道突发环境事件应急物资清单</w:t>
      </w:r>
      <w:bookmarkEnd w:id="151"/>
      <w:bookmarkEnd w:id="152"/>
    </w:p>
    <w:p w14:paraId="1B402778">
      <w:pPr>
        <w:keepNext/>
        <w:keepLines/>
        <w:pageBreakBefore w:val="0"/>
        <w:widowControl w:val="0"/>
        <w:kinsoku/>
        <w:wordWrap/>
        <w:overflowPunct/>
        <w:topLinePunct w:val="0"/>
        <w:autoSpaceDE/>
        <w:autoSpaceDN/>
        <w:bidi w:val="0"/>
        <w:adjustRightInd/>
        <w:snapToGrid/>
        <w:spacing w:before="156" w:beforeLines="50" w:after="156" w:afterLines="50" w:line="360" w:lineRule="auto"/>
        <w:jc w:val="center"/>
        <w:textAlignment w:val="auto"/>
        <w:outlineLvl w:val="9"/>
        <w:rPr>
          <w:rFonts w:hint="eastAsia" w:ascii="宋体" w:hAnsi="宋体" w:eastAsia="宋体" w:cs="宋体"/>
          <w:b/>
          <w:bCs/>
          <w:color w:val="auto"/>
          <w:sz w:val="24"/>
          <w:szCs w:val="24"/>
        </w:rPr>
      </w:pPr>
      <w:bookmarkStart w:id="153" w:name="_Toc18193"/>
      <w:r>
        <w:rPr>
          <w:rFonts w:hint="eastAsia" w:ascii="宋体" w:hAnsi="宋体" w:eastAsia="宋体" w:cs="宋体"/>
          <w:b/>
          <w:bCs/>
          <w:color w:val="auto"/>
          <w:sz w:val="24"/>
          <w:szCs w:val="24"/>
          <w:lang w:eastAsia="zh-CN"/>
        </w:rPr>
        <w:t>白鹤街道</w:t>
      </w:r>
      <w:r>
        <w:rPr>
          <w:rFonts w:hint="eastAsia" w:ascii="宋体" w:hAnsi="宋体" w:eastAsia="宋体" w:cs="宋体"/>
          <w:b/>
          <w:bCs/>
          <w:color w:val="auto"/>
          <w:sz w:val="24"/>
          <w:szCs w:val="24"/>
        </w:rPr>
        <w:t>突发环境事件应急物资清单</w:t>
      </w:r>
      <w:bookmarkEnd w:id="153"/>
    </w:p>
    <w:tbl>
      <w:tblPr>
        <w:tblStyle w:val="1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912"/>
        <w:gridCol w:w="724"/>
        <w:gridCol w:w="2091"/>
        <w:gridCol w:w="1334"/>
        <w:gridCol w:w="1859"/>
      </w:tblGrid>
      <w:tr w14:paraId="1028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7F636B36">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788" w:type="dxa"/>
            <w:noWrap w:val="0"/>
            <w:vAlign w:val="center"/>
          </w:tcPr>
          <w:p w14:paraId="605AE28C">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物资名称</w:t>
            </w:r>
          </w:p>
        </w:tc>
        <w:tc>
          <w:tcPr>
            <w:tcW w:w="677" w:type="dxa"/>
            <w:noWrap w:val="0"/>
            <w:vAlign w:val="center"/>
          </w:tcPr>
          <w:p w14:paraId="6E19DE29">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955" w:type="dxa"/>
            <w:noWrap w:val="0"/>
            <w:vAlign w:val="center"/>
          </w:tcPr>
          <w:p w14:paraId="33DC3909">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存放地点</w:t>
            </w:r>
          </w:p>
        </w:tc>
        <w:tc>
          <w:tcPr>
            <w:tcW w:w="1247" w:type="dxa"/>
            <w:noWrap w:val="0"/>
            <w:vAlign w:val="center"/>
          </w:tcPr>
          <w:p w14:paraId="2E22CA93">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联系人</w:t>
            </w:r>
          </w:p>
        </w:tc>
        <w:tc>
          <w:tcPr>
            <w:tcW w:w="1738" w:type="dxa"/>
            <w:noWrap w:val="0"/>
            <w:vAlign w:val="center"/>
          </w:tcPr>
          <w:p w14:paraId="08FFE7FE">
            <w:pPr>
              <w:pStyle w:val="28"/>
              <w:keepNext w:val="0"/>
              <w:keepLines w:val="0"/>
              <w:pageBreakBefore w:val="0"/>
              <w:widowControl w:val="0"/>
              <w:kinsoku/>
              <w:wordWrap/>
              <w:overflowPunct/>
              <w:topLinePunct w:val="0"/>
              <w:autoSpaceDE/>
              <w:autoSpaceDN/>
              <w:bidi w:val="0"/>
              <w:adjustRightInd w:val="0"/>
              <w:snapToGrid w:val="0"/>
              <w:spacing w:line="240" w:lineRule="atLeast"/>
              <w:ind w:left="0"/>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联系电话</w:t>
            </w:r>
          </w:p>
        </w:tc>
      </w:tr>
      <w:tr w14:paraId="197E0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1384C259">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w:t>
            </w:r>
          </w:p>
        </w:tc>
        <w:tc>
          <w:tcPr>
            <w:tcW w:w="1788" w:type="dxa"/>
            <w:noWrap w:val="0"/>
            <w:vAlign w:val="center"/>
          </w:tcPr>
          <w:p w14:paraId="1EE8C179">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抽水泵</w:t>
            </w:r>
          </w:p>
        </w:tc>
        <w:tc>
          <w:tcPr>
            <w:tcW w:w="677" w:type="dxa"/>
            <w:noWrap w:val="0"/>
            <w:vAlign w:val="center"/>
          </w:tcPr>
          <w:p w14:paraId="12911A91">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1台</w:t>
            </w:r>
          </w:p>
        </w:tc>
        <w:tc>
          <w:tcPr>
            <w:tcW w:w="1955" w:type="dxa"/>
            <w:noWrap w:val="0"/>
            <w:vAlign w:val="center"/>
          </w:tcPr>
          <w:p w14:paraId="5E2535D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31DB269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刘炼</w:t>
            </w:r>
          </w:p>
        </w:tc>
        <w:tc>
          <w:tcPr>
            <w:tcW w:w="1738" w:type="dxa"/>
            <w:noWrap w:val="0"/>
            <w:vAlign w:val="center"/>
          </w:tcPr>
          <w:p w14:paraId="5EECBFD7">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18580815097</w:t>
            </w:r>
          </w:p>
        </w:tc>
      </w:tr>
      <w:tr w14:paraId="5539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6263CD9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p>
        </w:tc>
        <w:tc>
          <w:tcPr>
            <w:tcW w:w="1788" w:type="dxa"/>
            <w:noWrap w:val="0"/>
            <w:vAlign w:val="center"/>
          </w:tcPr>
          <w:p w14:paraId="1436ECA6">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电锯</w:t>
            </w:r>
          </w:p>
        </w:tc>
        <w:tc>
          <w:tcPr>
            <w:tcW w:w="677" w:type="dxa"/>
            <w:noWrap w:val="0"/>
            <w:vAlign w:val="center"/>
          </w:tcPr>
          <w:p w14:paraId="532590D9">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4台</w:t>
            </w:r>
          </w:p>
        </w:tc>
        <w:tc>
          <w:tcPr>
            <w:tcW w:w="1955" w:type="dxa"/>
            <w:noWrap w:val="0"/>
            <w:vAlign w:val="center"/>
          </w:tcPr>
          <w:p w14:paraId="1FDD5F69">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4DA7EAC8">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刘炼</w:t>
            </w:r>
          </w:p>
        </w:tc>
        <w:tc>
          <w:tcPr>
            <w:tcW w:w="1738" w:type="dxa"/>
            <w:noWrap w:val="0"/>
            <w:vAlign w:val="center"/>
          </w:tcPr>
          <w:p w14:paraId="1CF42F7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18580815097</w:t>
            </w:r>
          </w:p>
        </w:tc>
      </w:tr>
      <w:tr w14:paraId="2D9C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22219A47">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w:t>
            </w:r>
          </w:p>
        </w:tc>
        <w:tc>
          <w:tcPr>
            <w:tcW w:w="1788" w:type="dxa"/>
            <w:noWrap w:val="0"/>
            <w:vAlign w:val="center"/>
          </w:tcPr>
          <w:p w14:paraId="06BDD64E">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移动电源</w:t>
            </w:r>
          </w:p>
        </w:tc>
        <w:tc>
          <w:tcPr>
            <w:tcW w:w="677" w:type="dxa"/>
            <w:noWrap w:val="0"/>
            <w:vAlign w:val="center"/>
          </w:tcPr>
          <w:p w14:paraId="67F84E26">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1个</w:t>
            </w:r>
          </w:p>
        </w:tc>
        <w:tc>
          <w:tcPr>
            <w:tcW w:w="1955" w:type="dxa"/>
            <w:noWrap w:val="0"/>
            <w:vAlign w:val="center"/>
          </w:tcPr>
          <w:p w14:paraId="7C45564D">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410FFCAE">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刘炼</w:t>
            </w:r>
          </w:p>
        </w:tc>
        <w:tc>
          <w:tcPr>
            <w:tcW w:w="1738" w:type="dxa"/>
            <w:noWrap w:val="0"/>
            <w:vAlign w:val="center"/>
          </w:tcPr>
          <w:p w14:paraId="44BA48F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18580815097</w:t>
            </w:r>
          </w:p>
        </w:tc>
      </w:tr>
      <w:tr w14:paraId="0235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547" w:type="dxa"/>
            <w:noWrap w:val="0"/>
            <w:vAlign w:val="center"/>
          </w:tcPr>
          <w:p w14:paraId="3B3192A8">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w:t>
            </w:r>
          </w:p>
        </w:tc>
        <w:tc>
          <w:tcPr>
            <w:tcW w:w="1788" w:type="dxa"/>
            <w:noWrap w:val="0"/>
            <w:vAlign w:val="center"/>
          </w:tcPr>
          <w:p w14:paraId="4A8C3018">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应急车辆</w:t>
            </w:r>
          </w:p>
        </w:tc>
        <w:tc>
          <w:tcPr>
            <w:tcW w:w="677" w:type="dxa"/>
            <w:noWrap w:val="0"/>
            <w:vAlign w:val="center"/>
          </w:tcPr>
          <w:p w14:paraId="5F468AE0">
            <w:pPr>
              <w:pStyle w:val="28"/>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1量</w:t>
            </w:r>
          </w:p>
        </w:tc>
        <w:tc>
          <w:tcPr>
            <w:tcW w:w="1955" w:type="dxa"/>
            <w:noWrap w:val="0"/>
            <w:vAlign w:val="center"/>
          </w:tcPr>
          <w:p w14:paraId="360FC0CA">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应急物资储备仓库</w:t>
            </w:r>
          </w:p>
        </w:tc>
        <w:tc>
          <w:tcPr>
            <w:tcW w:w="1247" w:type="dxa"/>
            <w:noWrap w:val="0"/>
            <w:vAlign w:val="center"/>
          </w:tcPr>
          <w:p w14:paraId="1E7F26F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刘炼</w:t>
            </w:r>
          </w:p>
        </w:tc>
        <w:tc>
          <w:tcPr>
            <w:tcW w:w="1738" w:type="dxa"/>
            <w:noWrap w:val="0"/>
            <w:vAlign w:val="center"/>
          </w:tcPr>
          <w:p w14:paraId="2F739FC1">
            <w:pPr>
              <w:keepNext w:val="0"/>
              <w:keepLines w:val="0"/>
              <w:pageBreakBefore w:val="0"/>
              <w:widowControl w:val="0"/>
              <w:kinsoku/>
              <w:wordWrap/>
              <w:overflowPunct/>
              <w:topLinePunct w:val="0"/>
              <w:autoSpaceDE/>
              <w:autoSpaceDN/>
              <w:bidi w:val="0"/>
              <w:adjustRightInd w:val="0"/>
              <w:snapToGrid w:val="0"/>
              <w:spacing w:line="240" w:lineRule="atLeast"/>
              <w:ind w:left="0" w:lef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18580815097</w:t>
            </w:r>
          </w:p>
        </w:tc>
      </w:tr>
    </w:tbl>
    <w:p w14:paraId="29B86BF2">
      <w:pPr>
        <w:rPr>
          <w:rFonts w:hint="eastAsia" w:ascii="宋体" w:hAnsi="宋体" w:eastAsia="宋体" w:cs="宋体"/>
          <w:color w:val="FF0000"/>
          <w:sz w:val="24"/>
          <w:szCs w:val="24"/>
        </w:rPr>
      </w:pPr>
    </w:p>
    <w:p w14:paraId="19114E22">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FF0000"/>
          <w:sz w:val="21"/>
          <w:szCs w:val="21"/>
        </w:rPr>
        <w:br w:type="page"/>
      </w:r>
      <w:bookmarkStart w:id="154" w:name="_Toc1691"/>
      <w:bookmarkStart w:id="155" w:name="_Toc15688"/>
      <w:r>
        <w:rPr>
          <w:rFonts w:hint="eastAsia" w:ascii="宋体" w:hAnsi="宋体" w:eastAsia="宋体" w:cs="宋体"/>
          <w:color w:val="auto"/>
          <w:sz w:val="28"/>
          <w:szCs w:val="28"/>
          <w:lang w:val="en-US" w:eastAsia="zh-CN"/>
        </w:rPr>
        <w:t>附件3：开州区应急物资储备情况</w:t>
      </w:r>
      <w:bookmarkEnd w:id="154"/>
      <w:bookmarkEnd w:id="155"/>
    </w:p>
    <w:p w14:paraId="2FA928CD">
      <w:pPr>
        <w:spacing w:line="360" w:lineRule="auto"/>
        <w:jc w:val="center"/>
        <w:rPr>
          <w:rFonts w:hint="eastAsia"/>
          <w:color w:val="auto"/>
          <w:sz w:val="24"/>
        </w:rPr>
      </w:pPr>
      <w:r>
        <w:rPr>
          <w:b/>
          <w:color w:val="auto"/>
          <w:sz w:val="24"/>
        </w:rPr>
        <w:t xml:space="preserve">  </w:t>
      </w:r>
      <w:r>
        <w:rPr>
          <w:rFonts w:hint="eastAsia" w:hAnsi="宋体"/>
          <w:b/>
          <w:color w:val="auto"/>
          <w:sz w:val="24"/>
        </w:rPr>
        <w:t>开州区生态环境局应急物资储备情况</w:t>
      </w:r>
    </w:p>
    <w:tbl>
      <w:tblPr>
        <w:tblStyle w:val="16"/>
        <w:tblW w:w="0" w:type="auto"/>
        <w:tblInd w:w="0" w:type="dxa"/>
        <w:tblLayout w:type="fixed"/>
        <w:tblCellMar>
          <w:top w:w="0" w:type="dxa"/>
          <w:left w:w="0" w:type="dxa"/>
          <w:bottom w:w="0" w:type="dxa"/>
          <w:right w:w="0" w:type="dxa"/>
        </w:tblCellMar>
      </w:tblPr>
      <w:tblGrid>
        <w:gridCol w:w="339"/>
        <w:gridCol w:w="1599"/>
        <w:gridCol w:w="1519"/>
        <w:gridCol w:w="1223"/>
        <w:gridCol w:w="503"/>
        <w:gridCol w:w="478"/>
        <w:gridCol w:w="886"/>
        <w:gridCol w:w="853"/>
        <w:gridCol w:w="930"/>
      </w:tblGrid>
      <w:tr w14:paraId="12E7E8B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04893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序号</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846DC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产品名称</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714CD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物资类别</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C7AD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规格型号</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E715A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数量</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43771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单位</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1500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存放地点</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5FADA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使用状况</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89D9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管理部门</w:t>
            </w:r>
          </w:p>
        </w:tc>
      </w:tr>
      <w:tr w14:paraId="6C46C3C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CF55F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9746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GPS定位仪</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6E1EE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6459A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G120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73AC3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89D9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6E05F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75A16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813F1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5754D5B">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6AEEE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75D4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激光测距望远镜</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9C17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D553C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1400A</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4583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F6C69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4BB0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7C3CB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5BCCB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DDDFB7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A891B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F4361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对讲机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C92E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7F05E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GP328</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3937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12B16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对</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75C65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9BD0E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E72FD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4FE3987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C33E1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4F21E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应急录音设备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7472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8F190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5505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5237D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4D62C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F46B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C421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7545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FA8F16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8748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3D9F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应急现场工作服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9D9E1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2E23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RD96-T</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B756C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9CBBC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8A01C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6DE3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3A57F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6142DC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7443F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6B07D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液体化学防护服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A46E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D1E97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FH-2NP</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D884D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5F583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829F5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7FBC3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7864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F82EF1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0E39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74B9A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气体化学防护服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250EF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D160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FH-3NP</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30B0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2CC7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C7981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1288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77AF9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344781E">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4A2E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814D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易燃易爆气体报警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515A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905DA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SLT-606</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F97F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FDC26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0E678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3B17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9E0B9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3C57B64">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5D2D6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67B98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有毒有害气体报警装置</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14190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52693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SLT-900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84E7F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81AD6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8F17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4962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390A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5D0369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6129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346D5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辐射报警装置</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31229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应急监测设备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658FB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SLT-900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8E7B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0FB9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A176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BD5A5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71C0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E0CDB0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DF83D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CC535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医用急救箱</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3B895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03A3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18村铝合金</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15FD7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4F564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88AD7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8BB12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145DC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61AFA8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A63EF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8492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应急供电、照明设备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8F6F6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FF51C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MT1000S</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C93C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6567B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3E3A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77CC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8EE8A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DD96BD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C5C74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46F9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睡袋</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90FDE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76FD1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CM-040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487C1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4B5C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AC1DE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E80DB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F876A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494F97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A02D6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D567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帐篷</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0D74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33F66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CS070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514E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38735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82B21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1790D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29AC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0DA1B5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928FE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4128A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执法记录仪</w:t>
            </w:r>
          </w:p>
        </w:tc>
        <w:tc>
          <w:tcPr>
            <w:tcW w:w="151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60EBBD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2988A1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DSJ-A3</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F7D9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126BC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6C0B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63260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0DF7D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7033F3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AADF2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16</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E16DAF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台式电脑</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67BD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CE4F0D">
            <w:pPr>
              <w:jc w:val="center"/>
              <w:rPr>
                <w:rFonts w:hint="eastAsia" w:ascii="宋体" w:hAnsi="宋体" w:cs="宋体"/>
                <w:color w:val="auto"/>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5D4B4A3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BCAD3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E3E64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1479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705F9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F013F8F">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382ED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17</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5E03CA2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应急车辆及辅助设备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3DA11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F5803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本田</w:t>
            </w: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6759A4D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7646E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辆</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AEB6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E7AA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199B6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36C11D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60F12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18</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76F2F35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固定电话</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33BDF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576E67">
            <w:pPr>
              <w:jc w:val="center"/>
              <w:rPr>
                <w:rFonts w:hint="eastAsia" w:ascii="宋体" w:hAnsi="宋体" w:cs="宋体"/>
                <w:color w:val="auto"/>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3488230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63FEC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部</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394CB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7F8A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21541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C20186D">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DB873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19</w:t>
            </w:r>
          </w:p>
        </w:tc>
        <w:tc>
          <w:tcPr>
            <w:tcW w:w="1599" w:type="dxa"/>
            <w:tcBorders>
              <w:top w:val="single" w:color="000000" w:sz="4" w:space="0"/>
              <w:left w:val="single" w:color="000000" w:sz="4" w:space="0"/>
              <w:bottom w:val="single" w:color="000000" w:sz="4" w:space="0"/>
              <w:right w:val="nil"/>
            </w:tcBorders>
            <w:noWrap w:val="0"/>
            <w:tcMar>
              <w:top w:w="15" w:type="dxa"/>
              <w:left w:w="15" w:type="dxa"/>
              <w:right w:w="15" w:type="dxa"/>
            </w:tcMar>
            <w:vAlign w:val="center"/>
          </w:tcPr>
          <w:p w14:paraId="1F014EE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打印机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6BDE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A7F499">
            <w:pPr>
              <w:jc w:val="center"/>
              <w:rPr>
                <w:rFonts w:hint="eastAsia" w:ascii="宋体" w:hAnsi="宋体" w:cs="宋体"/>
                <w:color w:val="auto"/>
                <w:sz w:val="18"/>
                <w:szCs w:val="18"/>
              </w:rPr>
            </w:pPr>
          </w:p>
        </w:tc>
        <w:tc>
          <w:tcPr>
            <w:tcW w:w="503" w:type="dxa"/>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18715D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AC947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6CC2C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3649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8992F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0DCFC2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1BC6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364A6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传真机</w:t>
            </w:r>
          </w:p>
        </w:tc>
        <w:tc>
          <w:tcPr>
            <w:tcW w:w="1519"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77FEB3D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14:paraId="55DFED16">
            <w:pPr>
              <w:jc w:val="center"/>
              <w:rPr>
                <w:rFonts w:hint="eastAsia" w:ascii="宋体" w:hAnsi="宋体" w:cs="宋体"/>
                <w:color w:val="auto"/>
                <w:sz w:val="18"/>
                <w:szCs w:val="18"/>
              </w:rPr>
            </w:pP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9B3FA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067DF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FF28A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48416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4B0E0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6473D69">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2F8697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21</w:t>
            </w:r>
          </w:p>
        </w:tc>
        <w:tc>
          <w:tcPr>
            <w:tcW w:w="159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134944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摄像机</w:t>
            </w:r>
          </w:p>
        </w:tc>
        <w:tc>
          <w:tcPr>
            <w:tcW w:w="151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6B87CC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1132B5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佳能</w:t>
            </w:r>
          </w:p>
        </w:tc>
        <w:tc>
          <w:tcPr>
            <w:tcW w:w="50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989E1B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022BA2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1849A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6653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4247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F53CCA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9BC01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FEF92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防爆摄像机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68AA0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6BBD5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Exdv1301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325D5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391AD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B5AE4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4EE4A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294F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ED19E3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149A8F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F4505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防爆照相机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123AE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EAAE1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Excam1201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6923C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EDA90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E5BE1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4E35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8E55B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5896F64">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BE98C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A6100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防爆对讲机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01EEE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1ACA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PT7200 Ex</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B35D9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DC5A2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617F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BC2BB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B483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6A22F1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923FD4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B29EF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移动便携式打印机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77E1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其他</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79B3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Officejet 150 mobile</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9856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66B11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4BDB6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33A00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46C29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8DF31FE">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859CD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721A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便携式柴油发电机</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DC482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83085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KDF4000XE</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2F140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8BF96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49969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6D6D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CE1FA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6489B8D">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06C100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4393D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防爆抽油泵</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FB4C3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1C95E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50CYZ-60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3611C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5DEB2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C6ECA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1AB7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82988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9A71AA1">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7AC5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284D3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水泵</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0C95B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B6520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50WQ20-33-5.5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06B3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4E0F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台</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92777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A6D4B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19823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38BE127">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3043F7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966A6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吸油毡</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EFFFF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2D3DB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PP-1/PP-2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F78C5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B3951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0EE7F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CCCB8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5E3A6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B4B0D3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6E4D8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9AFBB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吸油棉</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DB7F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3752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OP002-B</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CE035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9A7B9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F7201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9032E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D469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12E6B2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630B6A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0D92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黄色吸油吸液棉</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9838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075CB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HOP004</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6806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82CE7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4AEAA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4F6C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00F21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781D252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64B0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9C2E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吸油卷</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641A5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110C7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OR004</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98C81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7C1F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卷</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F06E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12E8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CB42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3BC99D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B63552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33</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071EC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吸油索</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1797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9CA4F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OS20*3</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87AD4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C79179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CFB00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3447E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2FD79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127EC80E">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7F8C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9D5C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吸油片</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6C17D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5F7C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OP002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FCB13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36ECE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67E39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F4156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DA355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3E39A103">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5D5696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274ED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PVC围油栏</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9382C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堵漏、收集器材/设备</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C867B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PVC1500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AF0FA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460AD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节</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09E8B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46A74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FB4C5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500B75BE">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DB94A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98A24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消防水龙带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98AAB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消防设施</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E9C0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13-100-25</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FD3A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65D35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节</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06D02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39EB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ABE74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405F95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A1C9D5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D8882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抽油管</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A54BC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消防设施</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B649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PVC</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7E6C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39EB8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件</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2AA63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72B91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58A5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434B700D">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8A8EE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38</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04DD1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防护手套</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FCDB3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3E031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辉安工业手套</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7A1AC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5EE0B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箱</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7DFBC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9534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778C1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FD7485E">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4DC3FB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39</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D41DB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耐高温手套</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6B2BE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B75FC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LC-S59</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D69BD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746292">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双</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A672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322C6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EA3C4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24101AD6">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088F7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40</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EF8DE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消油剂</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A7BF3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14D57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700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A7F0E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2</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3EEA0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桶</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DA38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A96B2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04EF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6FF37EC">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2587C8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41</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D8B49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化学品</w:t>
            </w:r>
            <w:r>
              <w:rPr>
                <w:rFonts w:hint="eastAsia" w:ascii="宋体" w:hAnsi="宋体" w:cs="宋体"/>
                <w:color w:val="auto"/>
                <w:kern w:val="0"/>
                <w:sz w:val="18"/>
                <w:szCs w:val="18"/>
                <w:lang w:eastAsia="zh-CN" w:bidi="ar"/>
              </w:rPr>
              <w:t>泄漏</w:t>
            </w:r>
            <w:r>
              <w:rPr>
                <w:rFonts w:hint="eastAsia" w:ascii="宋体" w:hAnsi="宋体" w:cs="宋体"/>
                <w:color w:val="auto"/>
                <w:kern w:val="0"/>
                <w:sz w:val="18"/>
                <w:szCs w:val="18"/>
                <w:lang w:bidi="ar"/>
              </w:rPr>
              <w:t>应急包</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DE200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7D6D6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YJB-001</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44E21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A685B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包</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52228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F46CC5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D42B6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F1C0904">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9C412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42</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364E8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编织袋</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70730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3B4B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90X130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8EB0A0">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100</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EE279A">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9E269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51D44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86608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4DC227E2">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69AF99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43</w:t>
            </w:r>
          </w:p>
        </w:tc>
        <w:tc>
          <w:tcPr>
            <w:tcW w:w="1599"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93A9D8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铁锹</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3BE3F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E6DCE3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1626</w:t>
            </w:r>
          </w:p>
        </w:tc>
        <w:tc>
          <w:tcPr>
            <w:tcW w:w="50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64858AF">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3B64C5E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AEC73E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C126A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F9CC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0E66E655">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1F968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44</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6E47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十字铁镐</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E3B06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34377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G102</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D41C3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653AF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FD7E4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9BDA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11716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4C51416A">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05C9C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45</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C6FA2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撬棍</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04F6C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应急救援物资</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8CDF3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1200X20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2A0D0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952A9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47F0F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D3B94D6">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DD94F7">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4636866F">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52332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46</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77FFB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安全带</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697B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B026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YH-7009</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E98C15">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75BAA1">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把</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F7C3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5A04C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62378E">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r w14:paraId="6EBF505F">
        <w:tblPrEx>
          <w:tblCellMar>
            <w:top w:w="0" w:type="dxa"/>
            <w:left w:w="0" w:type="dxa"/>
            <w:bottom w:w="0" w:type="dxa"/>
            <w:right w:w="0" w:type="dxa"/>
          </w:tblCellMar>
        </w:tblPrEx>
        <w:trPr>
          <w:trHeight w:val="500" w:hRule="atLeast"/>
        </w:trPr>
        <w:tc>
          <w:tcPr>
            <w:tcW w:w="3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92E48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47</w:t>
            </w:r>
          </w:p>
        </w:tc>
        <w:tc>
          <w:tcPr>
            <w:tcW w:w="159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F92738">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防毒面罩</w:t>
            </w:r>
          </w:p>
        </w:tc>
        <w:tc>
          <w:tcPr>
            <w:tcW w:w="15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B1F0B3">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个人防护设备器材</w:t>
            </w:r>
          </w:p>
        </w:tc>
        <w:tc>
          <w:tcPr>
            <w:tcW w:w="12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C5E2A9">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6200</w:t>
            </w:r>
          </w:p>
        </w:tc>
        <w:tc>
          <w:tcPr>
            <w:tcW w:w="50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E0647C">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5</w:t>
            </w:r>
          </w:p>
        </w:tc>
        <w:tc>
          <w:tcPr>
            <w:tcW w:w="4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B1265B">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套</w:t>
            </w:r>
          </w:p>
        </w:tc>
        <w:tc>
          <w:tcPr>
            <w:tcW w:w="8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D278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应急设备室</w:t>
            </w:r>
          </w:p>
        </w:tc>
        <w:tc>
          <w:tcPr>
            <w:tcW w:w="8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DE9E82D">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正常使用</w:t>
            </w:r>
          </w:p>
        </w:tc>
        <w:tc>
          <w:tcPr>
            <w:tcW w:w="93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9F0EF4">
            <w:pPr>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lang w:bidi="ar"/>
              </w:rPr>
              <w:t>区应急管理中心</w:t>
            </w:r>
          </w:p>
        </w:tc>
      </w:tr>
    </w:tbl>
    <w:p w14:paraId="27C08141">
      <w:pPr>
        <w:pStyle w:val="13"/>
        <w:ind w:firstLine="482"/>
        <w:rPr>
          <w:color w:val="auto"/>
          <w:sz w:val="24"/>
          <w:szCs w:val="24"/>
        </w:rPr>
        <w:sectPr>
          <w:pgSz w:w="11906" w:h="16838"/>
          <w:pgMar w:top="1440" w:right="1803" w:bottom="1440" w:left="1803" w:header="851" w:footer="992" w:gutter="0"/>
          <w:pgNumType w:fmt="decimal"/>
          <w:cols w:space="720" w:num="1"/>
          <w:docGrid w:type="lines" w:linePitch="312" w:charSpace="0"/>
        </w:sectPr>
      </w:pPr>
    </w:p>
    <w:p w14:paraId="576820E0">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56" w:name="_Toc1217"/>
      <w:bookmarkStart w:id="157" w:name="_Toc18267"/>
      <w:bookmarkStart w:id="158" w:name="_Toc5725"/>
      <w:bookmarkStart w:id="159" w:name="_Toc97730647"/>
      <w:bookmarkStart w:id="160" w:name="_Toc32125"/>
      <w:bookmarkStart w:id="161" w:name="_Toc30059"/>
      <w:r>
        <w:rPr>
          <w:rFonts w:hint="eastAsia" w:ascii="宋体" w:hAnsi="宋体" w:eastAsia="宋体" w:cs="宋体"/>
          <w:color w:val="auto"/>
          <w:sz w:val="28"/>
          <w:szCs w:val="28"/>
          <w:lang w:val="en-US" w:eastAsia="zh-CN"/>
        </w:rPr>
        <w:t>附图1</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开州区行政区划图</w:t>
      </w:r>
      <w:bookmarkEnd w:id="156"/>
      <w:bookmarkEnd w:id="157"/>
      <w:bookmarkEnd w:id="158"/>
      <w:bookmarkEnd w:id="159"/>
      <w:bookmarkEnd w:id="160"/>
    </w:p>
    <w:p w14:paraId="4387BED9">
      <w:pPr>
        <w:rPr>
          <w:rFonts w:hint="eastAsia"/>
          <w:color w:val="auto"/>
        </w:rPr>
        <w:sectPr>
          <w:footerReference r:id="rId9" w:type="default"/>
          <w:pgSz w:w="11906" w:h="16838"/>
          <w:pgMar w:top="1440" w:right="1133" w:bottom="1440" w:left="1803" w:header="851" w:footer="992" w:gutter="0"/>
          <w:cols w:space="720" w:num="1"/>
          <w:docGrid w:type="lines" w:linePitch="312" w:charSpace="0"/>
        </w:sectPr>
      </w:pPr>
      <w:r>
        <w:rPr>
          <w:color w:val="auto"/>
        </w:rPr>
        <mc:AlternateContent>
          <mc:Choice Requires="wps">
            <w:drawing>
              <wp:anchor distT="0" distB="0" distL="114300" distR="114300" simplePos="0" relativeHeight="251671552" behindDoc="0" locked="0" layoutInCell="1" allowOverlap="1">
                <wp:simplePos x="0" y="0"/>
                <wp:positionH relativeFrom="column">
                  <wp:posOffset>3048000</wp:posOffset>
                </wp:positionH>
                <wp:positionV relativeFrom="paragraph">
                  <wp:posOffset>2415540</wp:posOffset>
                </wp:positionV>
                <wp:extent cx="216535" cy="206375"/>
                <wp:effectExtent l="24130" t="26035" r="26035" b="34290"/>
                <wp:wrapNone/>
                <wp:docPr id="17" name="五角星 17"/>
                <wp:cNvGraphicFramePr/>
                <a:graphic xmlns:a="http://schemas.openxmlformats.org/drawingml/2006/main">
                  <a:graphicData uri="http://schemas.microsoft.com/office/word/2010/wordprocessingShape">
                    <wps:wsp>
                      <wps:cNvSpPr/>
                      <wps:spPr>
                        <a:xfrm>
                          <a:off x="0" y="0"/>
                          <a:ext cx="216535" cy="206375"/>
                        </a:xfrm>
                        <a:prstGeom prst="star5">
                          <a:avLst/>
                        </a:prstGeom>
                        <a:solidFill>
                          <a:srgbClr val="FF0000"/>
                        </a:solidFill>
                        <a:ln w="15875" cap="flat" cmpd="sng">
                          <a:solidFill>
                            <a:srgbClr val="FF0000"/>
                          </a:solidFill>
                          <a:prstDash val="solid"/>
                          <a:miter/>
                          <a:headEnd type="none" w="med" len="med"/>
                          <a:tailEnd type="none" w="med" len="med"/>
                        </a:ln>
                      </wps:spPr>
                      <wps:txbx>
                        <w:txbxContent>
                          <w:p w14:paraId="48A2F401"/>
                        </w:txbxContent>
                      </wps:txbx>
                      <wps:bodyPr upright="1"/>
                    </wps:wsp>
                  </a:graphicData>
                </a:graphic>
              </wp:anchor>
            </w:drawing>
          </mc:Choice>
          <mc:Fallback>
            <w:pict>
              <v:shape id="_x0000_s1026" o:spid="_x0000_s1026" style="position:absolute;left:0pt;margin-left:240pt;margin-top:190.2pt;height:16.25pt;width:17.05pt;z-index:251671552;mso-width-relative:page;mso-height-relative:page;" fillcolor="#FF0000" filled="t" stroked="t" coordsize="216535,206375" o:gfxdata="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kqFQtsAAAALAQAADwAAAAAAAAABACAAAAAi&#10;AAAAZHJzL2Rvd25yZXYueG1sUEsBAhQAFAAAAAgAh07iQBxJBcwHAgAALwQAAA4AAAAAAAAAAQAg&#10;AAAAKgEAAGRycy9lMm9Eb2MueG1sUEsFBgAAAAAGAAYAWQEAAKMFAAAAAA==&#10;" path="m0,78828l82709,78828,108267,0,133825,78828,216534,78828,149621,127546,175180,206374,108267,157655,41354,206374,66913,127546xe">
                <v:path textboxrect="0,0,216535,206375" o:connectlocs="108267,0;0,78828;41354,206374;175180,206374;216534,78828" o:connectangles="247,164,82,82,0"/>
                <v:fill on="t" focussize="0,0"/>
                <v:stroke weight="1.25pt" color="#FF0000" joinstyle="miter"/>
                <v:imagedata o:title=""/>
                <o:lock v:ext="edit" aspectratio="f"/>
                <v:textbox>
                  <w:txbxContent>
                    <w:p w14:paraId="48A2F401"/>
                  </w:txbxContent>
                </v:textbox>
              </v:shape>
            </w:pict>
          </mc:Fallback>
        </mc:AlternateContent>
      </w:r>
      <w:r>
        <w:rPr>
          <w:rFonts w:hint="eastAsia"/>
          <w:color w:val="auto"/>
        </w:rPr>
        <w:drawing>
          <wp:inline distT="0" distB="0" distL="114300" distR="114300">
            <wp:extent cx="5256530" cy="6506210"/>
            <wp:effectExtent l="0" t="0" r="1270" b="8890"/>
            <wp:docPr id="13" name="图片 1" descr="201912220838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2019122208385770"/>
                    <pic:cNvPicPr>
                      <a:picLocks noChangeAspect="1"/>
                    </pic:cNvPicPr>
                  </pic:nvPicPr>
                  <pic:blipFill>
                    <a:blip r:embed="rId20"/>
                    <a:stretch>
                      <a:fillRect/>
                    </a:stretch>
                  </pic:blipFill>
                  <pic:spPr>
                    <a:xfrm>
                      <a:off x="0" y="0"/>
                      <a:ext cx="5256530" cy="6506210"/>
                    </a:xfrm>
                    <a:prstGeom prst="rect">
                      <a:avLst/>
                    </a:prstGeom>
                    <a:noFill/>
                    <a:ln>
                      <a:noFill/>
                    </a:ln>
                  </pic:spPr>
                </pic:pic>
              </a:graphicData>
            </a:graphic>
          </wp:inline>
        </w:drawing>
      </w:r>
      <w:bookmarkEnd w:id="161"/>
    </w:p>
    <w:p w14:paraId="0EAA82BC">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62" w:name="_Toc23063"/>
      <w:bookmarkStart w:id="163" w:name="_Toc24362"/>
      <w:bookmarkStart w:id="164" w:name="_Toc29073"/>
      <w:bookmarkStart w:id="165" w:name="_Toc7337"/>
      <w:bookmarkStart w:id="166" w:name="_Toc97730648"/>
      <w:bookmarkStart w:id="167" w:name="_Toc6122"/>
      <w:r>
        <w:rPr>
          <w:rFonts w:hint="eastAsia" w:ascii="宋体" w:hAnsi="宋体" w:eastAsia="宋体" w:cs="宋体"/>
          <w:color w:val="auto"/>
          <w:sz w:val="28"/>
          <w:szCs w:val="28"/>
          <w:lang w:val="en-US" w:eastAsia="zh-CN"/>
        </w:rPr>
        <w:t>附图2</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开州区水系图</w:t>
      </w:r>
      <w:bookmarkEnd w:id="162"/>
      <w:bookmarkEnd w:id="163"/>
      <w:bookmarkEnd w:id="164"/>
      <w:bookmarkEnd w:id="165"/>
      <w:bookmarkEnd w:id="166"/>
    </w:p>
    <w:p w14:paraId="4D7079D7">
      <w:pPr>
        <w:rPr>
          <w:rFonts w:hint="eastAsia"/>
          <w:color w:val="auto"/>
        </w:rPr>
        <w:sectPr>
          <w:pgSz w:w="11906" w:h="16838"/>
          <w:pgMar w:top="1440" w:right="1803" w:bottom="1440" w:left="1803" w:header="851" w:footer="992" w:gutter="0"/>
          <w:cols w:space="720" w:num="1"/>
          <w:docGrid w:type="lines" w:linePitch="312" w:charSpace="0"/>
        </w:sectPr>
      </w:pPr>
      <w:r>
        <w:rPr>
          <w:rFonts w:hint="eastAsia"/>
          <w:color w:val="auto"/>
        </w:rPr>
        <w:drawing>
          <wp:inline distT="0" distB="0" distL="114300" distR="114300">
            <wp:extent cx="5256530" cy="6506210"/>
            <wp:effectExtent l="0" t="0" r="1270" b="8890"/>
            <wp:docPr id="14" name="图片 2" descr="201912220839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2019122208393394"/>
                    <pic:cNvPicPr>
                      <a:picLocks noChangeAspect="1"/>
                    </pic:cNvPicPr>
                  </pic:nvPicPr>
                  <pic:blipFill>
                    <a:blip r:embed="rId21"/>
                    <a:stretch>
                      <a:fillRect/>
                    </a:stretch>
                  </pic:blipFill>
                  <pic:spPr>
                    <a:xfrm>
                      <a:off x="0" y="0"/>
                      <a:ext cx="5256530" cy="6506210"/>
                    </a:xfrm>
                    <a:prstGeom prst="rect">
                      <a:avLst/>
                    </a:prstGeom>
                    <a:noFill/>
                    <a:ln>
                      <a:noFill/>
                    </a:ln>
                  </pic:spPr>
                </pic:pic>
              </a:graphicData>
            </a:graphic>
          </wp:inline>
        </w:drawing>
      </w:r>
      <w:bookmarkEnd w:id="167"/>
    </w:p>
    <w:p w14:paraId="4E2933A7">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68" w:name="_Toc11769"/>
      <w:bookmarkStart w:id="169" w:name="_Toc17543"/>
      <w:bookmarkStart w:id="170" w:name="_Toc11475"/>
      <w:bookmarkStart w:id="171" w:name="_Toc97730649"/>
      <w:bookmarkStart w:id="172" w:name="_Toc12096"/>
      <w:bookmarkStart w:id="173" w:name="_Toc4381"/>
      <w:r>
        <w:rPr>
          <w:rFonts w:hint="eastAsia" w:ascii="宋体" w:hAnsi="宋体" w:eastAsia="宋体" w:cs="宋体"/>
          <w:color w:val="auto"/>
          <w:sz w:val="28"/>
          <w:szCs w:val="28"/>
          <w:lang w:val="en-US" w:eastAsia="zh-CN"/>
        </w:rPr>
        <w:t>附图3</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重庆市开州区白鹤街道饮用水水源地地理位置图</w:t>
      </w:r>
      <w:bookmarkEnd w:id="168"/>
      <w:bookmarkEnd w:id="169"/>
      <w:bookmarkEnd w:id="170"/>
      <w:bookmarkEnd w:id="171"/>
      <w:bookmarkEnd w:id="172"/>
      <w:bookmarkEnd w:id="173"/>
    </w:p>
    <w:p w14:paraId="282F168F">
      <w:pPr>
        <w:jc w:val="center"/>
        <w:rPr>
          <w:rFonts w:hint="eastAsia"/>
          <w:color w:val="auto"/>
        </w:rPr>
        <w:sectPr>
          <w:pgSz w:w="11906" w:h="16838"/>
          <w:pgMar w:top="1440" w:right="1803" w:bottom="1440" w:left="1803" w:header="851" w:footer="992" w:gutter="0"/>
          <w:cols w:space="720" w:num="1"/>
          <w:docGrid w:type="lines" w:linePitch="319" w:charSpace="0"/>
        </w:sectPr>
      </w:pPr>
      <w:r>
        <w:rPr>
          <w:rFonts w:hint="eastAsia" w:eastAsia="宋体"/>
          <w:lang w:eastAsia="zh-CN"/>
        </w:rPr>
        <w:drawing>
          <wp:inline distT="0" distB="0" distL="114300" distR="114300">
            <wp:extent cx="5262245" cy="7436485"/>
            <wp:effectExtent l="0" t="0" r="14605" b="12065"/>
            <wp:docPr id="10" name="图片 2" descr="微信图片_2020092910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微信图片_20200929102520"/>
                    <pic:cNvPicPr>
                      <a:picLocks noChangeAspect="1"/>
                    </pic:cNvPicPr>
                  </pic:nvPicPr>
                  <pic:blipFill>
                    <a:blip r:embed="rId22"/>
                    <a:stretch>
                      <a:fillRect/>
                    </a:stretch>
                  </pic:blipFill>
                  <pic:spPr>
                    <a:xfrm>
                      <a:off x="0" y="0"/>
                      <a:ext cx="5262245" cy="7436485"/>
                    </a:xfrm>
                    <a:prstGeom prst="rect">
                      <a:avLst/>
                    </a:prstGeom>
                    <a:noFill/>
                    <a:ln>
                      <a:noFill/>
                    </a:ln>
                  </pic:spPr>
                </pic:pic>
              </a:graphicData>
            </a:graphic>
          </wp:inline>
        </w:drawing>
      </w:r>
    </w:p>
    <w:p w14:paraId="4DBCBEA4">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pPr>
      <w:bookmarkStart w:id="174" w:name="_Toc31791"/>
      <w:bookmarkStart w:id="175" w:name="_Toc2119"/>
      <w:bookmarkStart w:id="176" w:name="_Toc97730651"/>
      <w:r>
        <w:rPr>
          <w:rFonts w:hint="eastAsia" w:ascii="宋体" w:hAnsi="宋体" w:eastAsia="宋体" w:cs="宋体"/>
          <w:color w:val="auto"/>
          <w:sz w:val="28"/>
          <w:szCs w:val="28"/>
          <w:lang w:val="en-US" w:eastAsia="zh-CN"/>
        </w:rPr>
        <w:t>附图4</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白鹤街道饮用水水源地及固定、移动风险源分布图</w:t>
      </w:r>
      <w:bookmarkEnd w:id="174"/>
      <w:bookmarkEnd w:id="175"/>
      <w:bookmarkEnd w:id="176"/>
    </w:p>
    <w:p w14:paraId="27D78111">
      <w:pPr>
        <w:rPr>
          <w:color w:val="auto"/>
        </w:rPr>
      </w:pPr>
    </w:p>
    <w:p w14:paraId="6B45FAFB">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28"/>
          <w:szCs w:val="28"/>
          <w:lang w:val="en-US" w:eastAsia="zh-CN"/>
        </w:rPr>
        <w:sectPr>
          <w:pgSz w:w="11906" w:h="16838"/>
          <w:pgMar w:top="1440" w:right="1803" w:bottom="1440" w:left="1803" w:header="851" w:footer="992" w:gutter="0"/>
          <w:cols w:space="720" w:num="1"/>
          <w:docGrid w:type="lines" w:linePitch="319" w:charSpace="0"/>
        </w:sectPr>
      </w:pPr>
      <w:bookmarkStart w:id="177" w:name="_Toc26025"/>
      <w:bookmarkStart w:id="178" w:name="_Toc4771"/>
      <w:r>
        <w:drawing>
          <wp:inline distT="0" distB="0" distL="114300" distR="114300">
            <wp:extent cx="5283835" cy="7445375"/>
            <wp:effectExtent l="0" t="0" r="12065" b="317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3"/>
                    <a:stretch>
                      <a:fillRect/>
                    </a:stretch>
                  </pic:blipFill>
                  <pic:spPr>
                    <a:xfrm>
                      <a:off x="0" y="0"/>
                      <a:ext cx="5283835" cy="7445375"/>
                    </a:xfrm>
                    <a:prstGeom prst="rect">
                      <a:avLst/>
                    </a:prstGeom>
                    <a:noFill/>
                    <a:ln>
                      <a:noFill/>
                    </a:ln>
                  </pic:spPr>
                </pic:pic>
              </a:graphicData>
            </a:graphic>
          </wp:inline>
        </w:drawing>
      </w:r>
      <w:bookmarkEnd w:id="177"/>
      <w:bookmarkEnd w:id="178"/>
    </w:p>
    <w:p w14:paraId="00B01A18">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1"/>
        <w:rPr>
          <w:rFonts w:hint="eastAsia" w:ascii="宋体" w:hAnsi="宋体" w:eastAsia="宋体" w:cs="宋体"/>
          <w:color w:val="auto"/>
          <w:sz w:val="28"/>
          <w:szCs w:val="28"/>
          <w:lang w:val="en-US" w:eastAsia="zh-CN"/>
        </w:rPr>
      </w:pPr>
      <w:bookmarkStart w:id="179" w:name="_Toc97730653"/>
      <w:bookmarkStart w:id="180" w:name="_Toc27121"/>
      <w:bookmarkStart w:id="181" w:name="_Toc10935"/>
      <w:r>
        <w:rPr>
          <w:rFonts w:hint="eastAsia" w:ascii="宋体" w:hAnsi="宋体" w:eastAsia="宋体" w:cs="宋体"/>
          <w:color w:val="auto"/>
          <w:sz w:val="28"/>
          <w:szCs w:val="28"/>
          <w:lang w:val="en-US" w:eastAsia="zh-CN"/>
        </w:rPr>
        <w:t>附图5</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突发环境事件应急物资分布图</w:t>
      </w:r>
      <w:bookmarkEnd w:id="179"/>
      <w:bookmarkEnd w:id="180"/>
      <w:bookmarkEnd w:id="181"/>
    </w:p>
    <w:p w14:paraId="5F324611">
      <w:pPr>
        <w:rPr>
          <w:color w:val="auto"/>
        </w:rPr>
      </w:pPr>
      <w:r>
        <w:drawing>
          <wp:anchor distT="0" distB="0" distL="114300" distR="114300" simplePos="0" relativeHeight="251674624" behindDoc="0" locked="0" layoutInCell="1" allowOverlap="1">
            <wp:simplePos x="0" y="0"/>
            <wp:positionH relativeFrom="column">
              <wp:posOffset>926465</wp:posOffset>
            </wp:positionH>
            <wp:positionV relativeFrom="paragraph">
              <wp:posOffset>87630</wp:posOffset>
            </wp:positionV>
            <wp:extent cx="7131050" cy="4919980"/>
            <wp:effectExtent l="0" t="0" r="12700" b="13970"/>
            <wp:wrapNone/>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4"/>
                    <a:stretch>
                      <a:fillRect/>
                    </a:stretch>
                  </pic:blipFill>
                  <pic:spPr>
                    <a:xfrm>
                      <a:off x="0" y="0"/>
                      <a:ext cx="7131050" cy="4919980"/>
                    </a:xfrm>
                    <a:prstGeom prst="rect">
                      <a:avLst/>
                    </a:prstGeom>
                    <a:noFill/>
                    <a:ln>
                      <a:noFill/>
                    </a:ln>
                  </pic:spPr>
                </pic:pic>
              </a:graphicData>
            </a:graphic>
          </wp:anchor>
        </w:drawing>
      </w:r>
    </w:p>
    <w:p w14:paraId="4CB5D102">
      <w:pPr>
        <w:widowControl/>
        <w:jc w:val="left"/>
        <w:rPr>
          <w:rFonts w:ascii="宋体" w:hAnsi="宋体" w:cs="宋体"/>
          <w:color w:val="auto"/>
          <w:kern w:val="0"/>
          <w:sz w:val="24"/>
        </w:rPr>
      </w:pPr>
    </w:p>
    <w:p w14:paraId="39C825D5">
      <w:pPr>
        <w:jc w:val="center"/>
        <w:rPr>
          <w:rFonts w:hint="eastAsia"/>
          <w:color w:val="auto"/>
        </w:rPr>
        <w:sectPr>
          <w:pgSz w:w="16838" w:h="11906" w:orient="landscape"/>
          <w:pgMar w:top="1803" w:right="1440" w:bottom="1803" w:left="1440" w:header="851" w:footer="992" w:gutter="0"/>
          <w:cols w:space="720" w:num="1"/>
          <w:docGrid w:type="lines" w:linePitch="319" w:charSpace="0"/>
        </w:sectPr>
      </w:pPr>
    </w:p>
    <w:p w14:paraId="1DDF939E">
      <w:pPr>
        <w:pStyle w:val="4"/>
        <w:keepNext/>
        <w:keepLines/>
        <w:pageBreakBefore w:val="0"/>
        <w:widowControl w:val="0"/>
        <w:kinsoku/>
        <w:wordWrap/>
        <w:overflowPunct/>
        <w:topLinePunct w:val="0"/>
        <w:autoSpaceDE/>
        <w:autoSpaceDN/>
        <w:bidi w:val="0"/>
        <w:adjustRightInd/>
        <w:snapToGrid/>
        <w:spacing w:before="0" w:after="0" w:line="360" w:lineRule="auto"/>
        <w:jc w:val="left"/>
        <w:textAlignment w:val="auto"/>
        <w:outlineLvl w:val="1"/>
        <w:rPr>
          <w:rFonts w:hint="eastAsia" w:ascii="宋体" w:hAnsi="宋体" w:eastAsia="宋体" w:cs="宋体"/>
          <w:color w:val="auto"/>
          <w:sz w:val="28"/>
          <w:szCs w:val="28"/>
          <w:lang w:val="en-US" w:eastAsia="zh-CN"/>
        </w:rPr>
      </w:pPr>
      <w:bookmarkStart w:id="182" w:name="_Toc97730654"/>
      <w:bookmarkStart w:id="183" w:name="_Toc28915"/>
      <w:bookmarkStart w:id="184" w:name="_Toc7350"/>
      <w:r>
        <w:rPr>
          <w:rFonts w:hint="eastAsia" w:ascii="宋体" w:hAnsi="宋体" w:eastAsia="宋体" w:cs="宋体"/>
          <w:color w:val="auto"/>
          <w:sz w:val="28"/>
          <w:szCs w:val="28"/>
          <w:lang w:val="en-US" w:eastAsia="zh-CN"/>
        </w:rPr>
        <w:t>附图6</w:t>
      </w:r>
      <w:r>
        <w:rPr>
          <w:rFonts w:hint="eastAsia" w:ascii="宋体" w:hAnsi="宋体" w:cs="宋体"/>
          <w:color w:val="auto"/>
          <w:sz w:val="28"/>
          <w:szCs w:val="28"/>
          <w:lang w:val="en-US" w:eastAsia="zh-CN"/>
        </w:rPr>
        <w:t>：</w:t>
      </w:r>
      <w:r>
        <w:rPr>
          <w:rFonts w:hint="eastAsia" w:ascii="宋体" w:hAnsi="宋体" w:eastAsia="宋体" w:cs="宋体"/>
          <w:color w:val="auto"/>
          <w:sz w:val="28"/>
          <w:szCs w:val="28"/>
          <w:lang w:val="en-US" w:eastAsia="zh-CN"/>
        </w:rPr>
        <w:t>饮用水源地监测点位分布图</w:t>
      </w:r>
      <w:bookmarkEnd w:id="182"/>
      <w:bookmarkEnd w:id="183"/>
      <w:bookmarkEnd w:id="184"/>
    </w:p>
    <w:p w14:paraId="33FC0031">
      <w:pPr>
        <w:rPr>
          <w:rFonts w:hint="eastAsia"/>
          <w:color w:val="auto"/>
        </w:rPr>
      </w:pPr>
      <w:r>
        <w:rPr>
          <w:color w:val="auto"/>
        </w:rPr>
        <mc:AlternateContent>
          <mc:Choice Requires="wps">
            <w:drawing>
              <wp:anchor distT="0" distB="0" distL="114300" distR="114300" simplePos="0" relativeHeight="251673600" behindDoc="0" locked="0" layoutInCell="1" allowOverlap="1">
                <wp:simplePos x="0" y="0"/>
                <wp:positionH relativeFrom="column">
                  <wp:posOffset>3060700</wp:posOffset>
                </wp:positionH>
                <wp:positionV relativeFrom="paragraph">
                  <wp:posOffset>4047490</wp:posOffset>
                </wp:positionV>
                <wp:extent cx="1565910" cy="290195"/>
                <wp:effectExtent l="36830" t="7620" r="16510" b="140335"/>
                <wp:wrapNone/>
                <wp:docPr id="29" name="矩形标注 29"/>
                <wp:cNvGraphicFramePr/>
                <a:graphic xmlns:a="http://schemas.openxmlformats.org/drawingml/2006/main">
                  <a:graphicData uri="http://schemas.microsoft.com/office/word/2010/wordprocessingShape">
                    <wps:wsp>
                      <wps:cNvSpPr/>
                      <wps:spPr>
                        <a:xfrm>
                          <a:off x="0" y="0"/>
                          <a:ext cx="1565910" cy="290195"/>
                        </a:xfrm>
                        <a:prstGeom prst="wedgeRectCallout">
                          <a:avLst>
                            <a:gd name="adj1" fmla="val -48542"/>
                            <a:gd name="adj2" fmla="val 86981"/>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14:paraId="61023A44">
                            <w:pPr>
                              <w:rPr>
                                <w:rFonts w:hint="eastAsia" w:eastAsiaTheme="minorEastAsia"/>
                                <w:sz w:val="13"/>
                                <w:szCs w:val="13"/>
                                <w:lang w:eastAsia="zh-CN"/>
                              </w:rPr>
                            </w:pPr>
                            <w:r>
                              <w:rPr>
                                <w:rFonts w:hint="eastAsia" w:hAnsi="宋体"/>
                                <w:bCs/>
                                <w:sz w:val="13"/>
                                <w:szCs w:val="13"/>
                                <w:lang w:eastAsia="zh-CN"/>
                              </w:rPr>
                              <w:t>重庆市开州区白鹤街道饮用水水源地</w:t>
                            </w:r>
                          </w:p>
                        </w:txbxContent>
                      </wps:txbx>
                      <wps:bodyPr upright="1"/>
                    </wps:wsp>
                  </a:graphicData>
                </a:graphic>
              </wp:anchor>
            </w:drawing>
          </mc:Choice>
          <mc:Fallback>
            <w:pict>
              <v:shape id="_x0000_s1026" o:spid="_x0000_s1026" o:spt="61" type="#_x0000_t61" style="position:absolute;left:0pt;margin-left:241pt;margin-top:318.7pt;height:22.85pt;width:123.3pt;z-index:251673600;mso-width-relative:page;mso-height-relative:page;" fillcolor="#FFFFFF" filled="t" stroked="t" coordsize="21600,21600" o:gfxdata="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PIRgLaAAAACwEAAA8AAAAAAAAAAQAgAAAAIgAA&#10;AGRycy9kb3ducmV2LnhtbFBLAQIUABQAAAAIAIdO4kCCjQTPeAIAABcFAAAOAAAAAAAAAAEAIAAA&#10;ACkBAABkcnMvZTJvRG9jLnhtbFBLBQYAAAAABgAGAFkBAAATBgAAAAA=&#10;" adj="315,29588">
                <v:fill type="gradient" on="t" color2="#FFFFFF" angle="90" focus="100%" focussize="0,0">
                  <o:fill type="gradientUnscaled" v:ext="backwardCompatible"/>
                </v:fill>
                <v:stroke weight="1.25pt" color="#739CC3" joinstyle="miter"/>
                <v:imagedata o:title=""/>
                <o:lock v:ext="edit" aspectratio="f"/>
                <v:textbox>
                  <w:txbxContent>
                    <w:p w14:paraId="61023A44">
                      <w:pPr>
                        <w:rPr>
                          <w:rFonts w:hint="eastAsia" w:eastAsiaTheme="minorEastAsia"/>
                          <w:sz w:val="13"/>
                          <w:szCs w:val="13"/>
                          <w:lang w:eastAsia="zh-CN"/>
                        </w:rPr>
                      </w:pPr>
                      <w:r>
                        <w:rPr>
                          <w:rFonts w:hint="eastAsia" w:hAnsi="宋体"/>
                          <w:bCs/>
                          <w:sz w:val="13"/>
                          <w:szCs w:val="13"/>
                          <w:lang w:eastAsia="zh-CN"/>
                        </w:rPr>
                        <w:t>重庆市开州区白鹤街道饮用水水源地</w:t>
                      </w:r>
                    </w:p>
                  </w:txbxContent>
                </v:textbox>
              </v:shape>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2898775</wp:posOffset>
                </wp:positionH>
                <wp:positionV relativeFrom="paragraph">
                  <wp:posOffset>4404995</wp:posOffset>
                </wp:positionV>
                <wp:extent cx="131445" cy="146050"/>
                <wp:effectExtent l="21590" t="29845" r="37465" b="33655"/>
                <wp:wrapNone/>
                <wp:docPr id="36" name="五角星 36"/>
                <wp:cNvGraphicFramePr/>
                <a:graphic xmlns:a="http://schemas.openxmlformats.org/drawingml/2006/main">
                  <a:graphicData uri="http://schemas.microsoft.com/office/word/2010/wordprocessingShape">
                    <wps:wsp>
                      <wps:cNvSpPr/>
                      <wps:spPr>
                        <a:xfrm>
                          <a:off x="0" y="0"/>
                          <a:ext cx="131445" cy="146050"/>
                        </a:xfrm>
                        <a:prstGeom prst="star5">
                          <a:avLst/>
                        </a:prstGeom>
                        <a:gradFill rotWithShape="0">
                          <a:gsLst>
                            <a:gs pos="0">
                              <a:srgbClr val="FFFFFF"/>
                            </a:gs>
                            <a:gs pos="100000">
                              <a:srgbClr val="FFFFFF"/>
                            </a:gs>
                          </a:gsLst>
                          <a:lin ang="0"/>
                          <a:tileRect/>
                        </a:gradFill>
                        <a:ln w="15875" cap="flat" cmpd="sng">
                          <a:solidFill>
                            <a:srgbClr val="FF0000"/>
                          </a:solidFill>
                          <a:prstDash val="solid"/>
                          <a:miter/>
                          <a:headEnd type="none" w="med" len="med"/>
                          <a:tailEnd type="none" w="med" len="med"/>
                        </a:ln>
                      </wps:spPr>
                      <wps:txbx>
                        <w:txbxContent>
                          <w:p w14:paraId="68126620">
                            <w:r>
                              <w:drawing>
                                <wp:inline distT="0" distB="0" distL="114300" distR="114300">
                                  <wp:extent cx="6350" cy="6985"/>
                                  <wp:effectExtent l="0" t="0" r="0"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5"/>
                                          <a:stretch>
                                            <a:fillRect/>
                                          </a:stretch>
                                        </pic:blipFill>
                                        <pic:spPr>
                                          <a:xfrm>
                                            <a:off x="0" y="0"/>
                                            <a:ext cx="6350" cy="698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style="position:absolute;left:0pt;margin-left:228.25pt;margin-top:346.85pt;height:11.5pt;width:10.35pt;z-index:251672576;mso-width-relative:page;mso-height-relative:page;" fillcolor="#FFFFFF" filled="t" stroked="t" coordsize="131445,146050" o:gfxdata="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wx5xi2wAAAAsBAAAPAAAAAAAAAAEAIAAA&#10;ACIAAABkcnMvZG93bnJldi54bWxQSwECFAAUAAAACACHTuJAPb8n50ICAAC2BAAADgAAAAAAAAAB&#10;ACAAAAAqAQAAZHJzL2Uyb0RvYy54bWxQSwUGAAAAAAYABgBZAQAA3gUAAAAA&#10;" path="m0,55785l50207,55786,65722,0,81237,55786,131444,55785,90825,90263,106341,146049,65722,111571,25103,146049,40619,90263xe">
                <v:path textboxrect="0,0,131445,146050" o:connectlocs="65722,0;0,55785;25103,146049;106341,146049;131444,55785" o:connectangles="247,164,82,82,0"/>
                <v:fill type="gradient" on="t" color2="#FFFFFF" angle="90" focus="100%" focussize="0,0">
                  <o:fill type="gradientUnscaled" v:ext="backwardCompatible"/>
                </v:fill>
                <v:stroke weight="1.25pt" color="#FF0000" joinstyle="miter"/>
                <v:imagedata o:title=""/>
                <o:lock v:ext="edit" aspectratio="f"/>
                <v:textbox>
                  <w:txbxContent>
                    <w:p w14:paraId="68126620">
                      <w:r>
                        <w:drawing>
                          <wp:inline distT="0" distB="0" distL="114300" distR="114300">
                            <wp:extent cx="6350" cy="6985"/>
                            <wp:effectExtent l="0" t="0" r="0" b="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5"/>
                                    <a:stretch>
                                      <a:fillRect/>
                                    </a:stretch>
                                  </pic:blipFill>
                                  <pic:spPr>
                                    <a:xfrm>
                                      <a:off x="0" y="0"/>
                                      <a:ext cx="6350" cy="6985"/>
                                    </a:xfrm>
                                    <a:prstGeom prst="rect">
                                      <a:avLst/>
                                    </a:prstGeom>
                                    <a:noFill/>
                                    <a:ln>
                                      <a:noFill/>
                                    </a:ln>
                                  </pic:spPr>
                                </pic:pic>
                              </a:graphicData>
                            </a:graphic>
                          </wp:inline>
                        </w:drawing>
                      </w:r>
                    </w:p>
                  </w:txbxContent>
                </v:textbox>
              </v:shape>
            </w:pict>
          </mc:Fallback>
        </mc:AlternateContent>
      </w:r>
      <w:r>
        <w:rPr>
          <w:color w:val="auto"/>
          <w:sz w:val="24"/>
        </w:rPr>
        <w:drawing>
          <wp:inline distT="0" distB="0" distL="114300" distR="114300">
            <wp:extent cx="5269865" cy="7253605"/>
            <wp:effectExtent l="0" t="0" r="6985" b="4445"/>
            <wp:docPr id="28" name="图片 7" descr="微信图片_2020100918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微信图片_20201009181100"/>
                    <pic:cNvPicPr>
                      <a:picLocks noChangeAspect="1"/>
                    </pic:cNvPicPr>
                  </pic:nvPicPr>
                  <pic:blipFill>
                    <a:blip r:embed="rId26"/>
                    <a:stretch>
                      <a:fillRect/>
                    </a:stretch>
                  </pic:blipFill>
                  <pic:spPr>
                    <a:xfrm>
                      <a:off x="0" y="0"/>
                      <a:ext cx="5269865" cy="7253605"/>
                    </a:xfrm>
                    <a:prstGeom prst="rect">
                      <a:avLst/>
                    </a:prstGeom>
                    <a:noFill/>
                    <a:ln>
                      <a:noFill/>
                    </a:ln>
                  </pic:spPr>
                </pic:pic>
              </a:graphicData>
            </a:graphic>
          </wp:inline>
        </w:drawing>
      </w:r>
    </w:p>
    <w:p w14:paraId="24952932">
      <w:pPr>
        <w:rPr>
          <w:rFonts w:hint="default"/>
          <w:color w:val="auto"/>
          <w:lang w:val="en-US" w:eastAsia="zh-CN"/>
        </w:rPr>
      </w:pPr>
    </w:p>
    <w:p w14:paraId="22366EE8">
      <w:pPr>
        <w:keepNext w:val="0"/>
        <w:keepLines w:val="0"/>
        <w:pageBreakBefore w:val="0"/>
        <w:widowControl w:val="0"/>
        <w:kinsoku/>
        <w:wordWrap/>
        <w:overflowPunct/>
        <w:topLinePunct w:val="0"/>
        <w:autoSpaceDE/>
        <w:autoSpaceDN/>
        <w:bidi w:val="0"/>
        <w:adjustRightInd/>
        <w:snapToGrid/>
        <w:spacing w:line="360" w:lineRule="auto"/>
        <w:ind w:left="0" w:firstLine="560" w:firstLineChars="200"/>
        <w:jc w:val="both"/>
        <w:textAlignment w:val="auto"/>
        <w:outlineLvl w:val="2"/>
        <w:rPr>
          <w:rFonts w:hint="default" w:ascii="宋体" w:hAnsi="宋体" w:eastAsia="宋体" w:cs="宋体"/>
          <w:color w:val="auto"/>
          <w:kern w:val="2"/>
          <w:sz w:val="28"/>
          <w:szCs w:val="28"/>
          <w:lang w:val="en-US" w:eastAsia="zh-CN" w:bidi="ar-SA"/>
        </w:rPr>
      </w:pPr>
    </w:p>
    <w:sectPr>
      <w:footerReference r:id="rId10"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809E52AD-3ADD-4057-ABD0-9927E6545ED2}"/>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方正仿宋_GBK">
    <w:panose1 w:val="02000000000000000000"/>
    <w:charset w:val="86"/>
    <w:family w:val="script"/>
    <w:pitch w:val="default"/>
    <w:sig w:usb0="A00002BF" w:usb1="38CF7CFA" w:usb2="00082016" w:usb3="00000000" w:csb0="00040001" w:csb1="00000000"/>
    <w:embedRegular r:id="rId2" w:fontKey="{3AF657F5-9860-439F-84E2-AFCB74F4949F}"/>
  </w:font>
  <w:font w:name="仿宋_GB2312">
    <w:panose1 w:val="02010609030101010101"/>
    <w:charset w:val="86"/>
    <w:family w:val="modern"/>
    <w:pitch w:val="default"/>
    <w:sig w:usb0="00000001" w:usb1="080E0000" w:usb2="00000000" w:usb3="00000000" w:csb0="00040000" w:csb1="00000000"/>
    <w:embedRegular r:id="rId3" w:fontKey="{F69E1B10-415B-4A7F-987F-A34DD71BFE72}"/>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DB86A">
    <w:pPr>
      <w:pStyle w:val="10"/>
      <w:ind w:right="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DDE6A">
    <w:pPr>
      <w:pStyle w:val="10"/>
      <w:framePr w:wrap="around" w:vAnchor="text" w:hAnchor="margin" w:xAlign="right" w:y="1"/>
      <w:rPr>
        <w:rStyle w:val="20"/>
        <w:rFonts w:hint="eastAsia"/>
      </w:rPr>
    </w:pPr>
    <w:r>
      <w:fldChar w:fldCharType="begin"/>
    </w:r>
    <w:r>
      <w:rPr>
        <w:rStyle w:val="20"/>
      </w:rPr>
      <w:instrText xml:space="preserve">PAGE  </w:instrText>
    </w:r>
    <w:r>
      <w:fldChar w:fldCharType="end"/>
    </w:r>
  </w:p>
  <w:p w14:paraId="37758493">
    <w:pPr>
      <w:pStyle w:val="10"/>
      <w:ind w:right="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7729A">
    <w:pPr>
      <w:pStyle w:val="10"/>
      <w:jc w:val="center"/>
      <w:rPr>
        <w:rFonts w:hint="eastAsia"/>
      </w:rPr>
    </w:pPr>
    <w:r>
      <w:fldChar w:fldCharType="begin"/>
    </w:r>
    <w:r>
      <w:instrText xml:space="preserve"> PAGE   \* MERGEFORMAT </w:instrText>
    </w:r>
    <w:r>
      <w:fldChar w:fldCharType="separate"/>
    </w:r>
    <w:r>
      <w:rPr>
        <w:rFonts w:hint="eastAsia"/>
        <w:lang w:val="zh-CN"/>
      </w:rPr>
      <w:t>52</w:t>
    </w:r>
    <w:r>
      <w:rPr>
        <w:rFonts w:hint="eastAsia"/>
        <w:lang w:val="zh-CN"/>
      </w:rPr>
      <w:fldChar w:fldCharType="end"/>
    </w:r>
  </w:p>
  <w:p w14:paraId="21C5CEBF">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D455E">
    <w:pPr>
      <w:pStyle w:val="10"/>
      <w:ind w:firstLine="360"/>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15FA96">
                          <w:pPr>
                            <w:pStyle w:val="1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E15FA96">
                    <w:pPr>
                      <w:pStyle w:val="10"/>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F9404">
    <w:pPr>
      <w:pStyle w:val="10"/>
      <w:ind w:firstLine="360"/>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4C43B5A">
                          <w:pPr>
                            <w:pStyle w:val="10"/>
                            <w:ind w:firstLine="360"/>
                          </w:pPr>
                          <w:r>
                            <w:fldChar w:fldCharType="begin"/>
                          </w:r>
                          <w:r>
                            <w:instrText xml:space="preserve"> PAGE  \* MERGEFORMAT </w:instrText>
                          </w:r>
                          <w:r>
                            <w:fldChar w:fldCharType="separate"/>
                          </w:r>
                          <w:r>
                            <w:t>57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6yDZIdgBAACxAwAADgAAAAAAAAAB&#10;ACAAAAAiAQAAZHJzL2Uyb0RvYy54bWxQSwUGAAAAAAYABgBZAQAAbAUAAAAA&#10;">
              <v:fill on="f" focussize="0,0"/>
              <v:stroke on="f" weight="1.25pt"/>
              <v:imagedata o:title=""/>
              <o:lock v:ext="edit" aspectratio="f"/>
              <v:textbox inset="0mm,0mm,0mm,0mm" style="mso-fit-shape-to-text:t;">
                <w:txbxContent>
                  <w:p w14:paraId="04C43B5A">
                    <w:pPr>
                      <w:pStyle w:val="10"/>
                      <w:ind w:firstLine="36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CF8F">
    <w:pPr>
      <w:pStyle w:val="10"/>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19FE6372">
                          <w:pPr>
                            <w:pStyle w:val="10"/>
                            <w:ind w:firstLine="360"/>
                          </w:pPr>
                          <w:r>
                            <w:fldChar w:fldCharType="begin"/>
                          </w:r>
                          <w:r>
                            <w:instrText xml:space="preserve"> PAGE  \* MERGEFORMAT </w:instrText>
                          </w:r>
                          <w:r>
                            <w:fldChar w:fldCharType="separate"/>
                          </w:r>
                          <w:r>
                            <w:t>57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BGfUKr1wEAALMDAAAOAAAAAAAAAAEA&#10;IAAAACIBAABkcnMvZTJvRG9jLnhtbFBLBQYAAAAABgAGAFkBAABrBQAAAAA=&#10;">
              <v:fill on="f" focussize="0,0"/>
              <v:stroke on="f" weight="1.25pt"/>
              <v:imagedata o:title=""/>
              <o:lock v:ext="edit" aspectratio="f"/>
              <v:textbox inset="0mm,0mm,0mm,0mm" style="mso-fit-shape-to-text:t;">
                <w:txbxContent>
                  <w:p w14:paraId="19FE6372">
                    <w:pPr>
                      <w:pStyle w:val="10"/>
                      <w:ind w:firstLine="36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DB3F9">
    <w:pPr>
      <w:pStyle w:val="11"/>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3539E">
    <w:pPr>
      <w:pStyle w:val="11"/>
      <w:pBdr>
        <w:bottom w:val="single" w:color="auto" w:sz="4" w:space="1"/>
      </w:pBdr>
      <w:rPr>
        <w:rFonts w:hint="eastAsia"/>
      </w:rPr>
    </w:pPr>
    <w:r>
      <w:rPr>
        <w:rFonts w:hint="eastAsia"/>
        <w:lang w:eastAsia="zh-CN"/>
      </w:rPr>
      <w:t>重庆市开州区白鹤街道饮用水水源地</w:t>
    </w:r>
    <w:r>
      <w:rPr>
        <w:rFonts w:hint="eastAsia"/>
      </w:rPr>
      <w:t>突发环境事件</w:t>
    </w:r>
    <w:r>
      <w:rPr>
        <w:rFonts w:hint="eastAsia"/>
        <w:lang w:val="en-US" w:eastAsia="zh-CN"/>
      </w:rPr>
      <w:t>应急预案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160FD3"/>
    <w:rsid w:val="07EC115A"/>
    <w:rsid w:val="0ADD2D51"/>
    <w:rsid w:val="147B7A9A"/>
    <w:rsid w:val="18B8271D"/>
    <w:rsid w:val="1C672639"/>
    <w:rsid w:val="329F61BD"/>
    <w:rsid w:val="32A459B8"/>
    <w:rsid w:val="34B3387E"/>
    <w:rsid w:val="362627BD"/>
    <w:rsid w:val="37006338"/>
    <w:rsid w:val="3C352ED2"/>
    <w:rsid w:val="3E160FD3"/>
    <w:rsid w:val="42402DFA"/>
    <w:rsid w:val="43C57AC2"/>
    <w:rsid w:val="44966412"/>
    <w:rsid w:val="469D449C"/>
    <w:rsid w:val="49932815"/>
    <w:rsid w:val="4A4660B6"/>
    <w:rsid w:val="4EF15C0F"/>
    <w:rsid w:val="536C2B54"/>
    <w:rsid w:val="558D606F"/>
    <w:rsid w:val="59893736"/>
    <w:rsid w:val="5D2D2508"/>
    <w:rsid w:val="614F0885"/>
    <w:rsid w:val="61FE0917"/>
    <w:rsid w:val="679D7954"/>
    <w:rsid w:val="6A3761A6"/>
    <w:rsid w:val="6BCC3834"/>
    <w:rsid w:val="6C014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120" w:line="412" w:lineRule="auto"/>
      <w:ind w:firstLine="200" w:firstLineChars="200"/>
      <w:outlineLvl w:val="1"/>
    </w:pPr>
    <w:rPr>
      <w:rFonts w:ascii="Cambria" w:hAnsi="Cambria" w:eastAsia="宋体" w:cs="宋体"/>
      <w:b/>
      <w:bCs/>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pPr>
      <w:ind w:left="151"/>
    </w:pPr>
    <w:rPr>
      <w:rFonts w:ascii="宋体" w:hAnsi="宋体" w:eastAsia="宋体" w:cs="宋体"/>
      <w:sz w:val="32"/>
      <w:szCs w:val="32"/>
      <w:lang w:val="zh-CN" w:eastAsia="zh-CN" w:bidi="zh-CN"/>
    </w:rPr>
  </w:style>
  <w:style w:type="paragraph" w:styleId="6">
    <w:name w:val="List 3"/>
    <w:basedOn w:val="1"/>
    <w:next w:val="1"/>
    <w:qFormat/>
    <w:uiPriority w:val="0"/>
    <w:pPr>
      <w:spacing w:line="288" w:lineRule="auto"/>
      <w:ind w:left="1260" w:hanging="420"/>
    </w:pPr>
    <w:rPr>
      <w:rFonts w:ascii="Calibri" w:hAnsi="Calibri" w:eastAsia="仿宋" w:cs="宋体"/>
    </w:rPr>
  </w:style>
  <w:style w:type="paragraph" w:styleId="7">
    <w:name w:val="Normal Indent"/>
    <w:basedOn w:val="1"/>
    <w:qFormat/>
    <w:uiPriority w:val="0"/>
    <w:pPr>
      <w:widowControl/>
      <w:adjustRightInd w:val="0"/>
      <w:snapToGrid w:val="0"/>
      <w:spacing w:line="360" w:lineRule="auto"/>
      <w:ind w:firstLine="420" w:firstLineChars="200"/>
      <w:jc w:val="left"/>
    </w:pPr>
    <w:rPr>
      <w:rFonts w:ascii="黑体" w:eastAsia="黑体"/>
      <w:snapToGrid w:val="0"/>
      <w:spacing w:val="10"/>
      <w:kern w:val="21"/>
      <w:sz w:val="24"/>
      <w:szCs w:val="20"/>
    </w:rPr>
  </w:style>
  <w:style w:type="paragraph" w:styleId="8">
    <w:name w:val="caption"/>
    <w:basedOn w:val="1"/>
    <w:next w:val="1"/>
    <w:qFormat/>
    <w:uiPriority w:val="35"/>
    <w:rPr>
      <w:rFonts w:ascii="Arial" w:hAnsi="Arial" w:eastAsia="黑体"/>
      <w:sz w:val="20"/>
      <w:szCs w:val="20"/>
    </w:rPr>
  </w:style>
  <w:style w:type="paragraph" w:styleId="9">
    <w:name w:val="Body Text Indent"/>
    <w:basedOn w:val="1"/>
    <w:qFormat/>
    <w:uiPriority w:val="0"/>
    <w:pPr>
      <w:ind w:firstLine="640" w:firstLineChars="200"/>
    </w:pPr>
    <w:rPr>
      <w:rFonts w:eastAsia="方正仿宋_GBK"/>
      <w:kern w:val="0"/>
      <w:sz w:val="32"/>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Subtitle"/>
    <w:basedOn w:val="1"/>
    <w:next w:val="1"/>
    <w:qFormat/>
    <w:uiPriority w:val="11"/>
    <w:pPr>
      <w:ind w:firstLine="0" w:firstLineChars="0"/>
      <w:jc w:val="center"/>
    </w:pPr>
    <w:rPr>
      <w:rFonts w:eastAsia="宋体" w:cs="Times New Roman"/>
      <w:bCs/>
      <w:kern w:val="28"/>
      <w:sz w:val="21"/>
      <w:szCs w:val="32"/>
    </w:rPr>
  </w:style>
  <w:style w:type="paragraph" w:styleId="14">
    <w:name w:val="toc 2"/>
    <w:basedOn w:val="1"/>
    <w:next w:val="1"/>
    <w:qFormat/>
    <w:uiPriority w:val="0"/>
    <w:pPr>
      <w:ind w:left="420" w:leftChars="200"/>
    </w:pPr>
  </w:style>
  <w:style w:type="paragraph" w:styleId="15">
    <w:name w:val="Normal (Web)"/>
    <w:basedOn w:val="1"/>
    <w:qFormat/>
    <w:uiPriority w:val="0"/>
    <w:pPr>
      <w:widowControl/>
      <w:jc w:val="left"/>
    </w:pPr>
    <w:rPr>
      <w:rFonts w:ascii="宋体" w:hAnsi="宋体" w:cs="宋体"/>
      <w:color w:val="000000"/>
      <w:kern w:val="0"/>
      <w:sz w:val="24"/>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qFormat/>
    <w:uiPriority w:val="22"/>
    <w:rPr>
      <w:b/>
    </w:rPr>
  </w:style>
  <w:style w:type="character" w:styleId="20">
    <w:name w:val="page number"/>
    <w:basedOn w:val="18"/>
    <w:qFormat/>
    <w:uiPriority w:val="0"/>
  </w:style>
  <w:style w:type="paragraph" w:customStyle="1" w:styleId="21">
    <w:name w:val="Default"/>
    <w:next w:val="6"/>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22">
    <w:name w:val="List Paragraph"/>
    <w:basedOn w:val="1"/>
    <w:qFormat/>
    <w:uiPriority w:val="0"/>
    <w:pPr>
      <w:ind w:firstLine="420" w:firstLineChars="200"/>
    </w:pPr>
  </w:style>
  <w:style w:type="paragraph" w:customStyle="1" w:styleId="23">
    <w:name w:val="表格"/>
    <w:basedOn w:val="24"/>
    <w:next w:val="1"/>
    <w:qFormat/>
    <w:uiPriority w:val="0"/>
    <w:pPr>
      <w:adjustRightInd w:val="0"/>
      <w:jc w:val="center"/>
    </w:pPr>
    <w:rPr>
      <w:spacing w:val="10"/>
      <w:kern w:val="0"/>
      <w:sz w:val="20"/>
      <w:szCs w:val="20"/>
    </w:rPr>
  </w:style>
  <w:style w:type="paragraph" w:customStyle="1" w:styleId="24">
    <w:name w:val="文本"/>
    <w:basedOn w:val="1"/>
    <w:qFormat/>
    <w:uiPriority w:val="0"/>
    <w:pPr>
      <w:spacing w:line="360" w:lineRule="auto"/>
      <w:ind w:firstLine="883" w:firstLineChars="200"/>
    </w:pPr>
    <w:rPr>
      <w:rFonts w:ascii="Times New Roman" w:hAnsi="Times New Roman"/>
      <w:sz w:val="24"/>
    </w:rPr>
  </w:style>
  <w:style w:type="paragraph" w:customStyle="1" w:styleId="25">
    <w:name w:val="大纲正文"/>
    <w:basedOn w:val="1"/>
    <w:qFormat/>
    <w:uiPriority w:val="0"/>
    <w:pPr>
      <w:adjustRightInd w:val="0"/>
      <w:snapToGrid w:val="0"/>
      <w:spacing w:line="360" w:lineRule="auto"/>
      <w:ind w:firstLine="200" w:firstLineChars="200"/>
    </w:pPr>
    <w:rPr>
      <w:rFonts w:eastAsia="仿宋_GB2312"/>
      <w:kern w:val="0"/>
      <w:sz w:val="28"/>
      <w:szCs w:val="20"/>
    </w:rPr>
  </w:style>
  <w:style w:type="paragraph" w:customStyle="1" w:styleId="26">
    <w:name w:val="L表内容"/>
    <w:basedOn w:val="1"/>
    <w:qFormat/>
    <w:uiPriority w:val="0"/>
    <w:pPr>
      <w:spacing w:line="0" w:lineRule="atLeast"/>
      <w:jc w:val="center"/>
    </w:pPr>
    <w:rPr>
      <w:szCs w:val="22"/>
    </w:rPr>
  </w:style>
  <w:style w:type="paragraph" w:customStyle="1" w:styleId="27">
    <w:name w:val="_Style 2"/>
    <w:basedOn w:val="1"/>
    <w:qFormat/>
    <w:uiPriority w:val="0"/>
    <w:pPr>
      <w:spacing w:line="360" w:lineRule="auto"/>
      <w:ind w:firstLine="420" w:firstLineChars="200"/>
    </w:pPr>
    <w:rPr>
      <w:szCs w:val="21"/>
    </w:rPr>
  </w:style>
  <w:style w:type="paragraph" w:customStyle="1" w:styleId="28">
    <w:name w:val="表格 123"/>
    <w:basedOn w:val="1"/>
    <w:qFormat/>
    <w:uiPriority w:val="0"/>
    <w:pPr>
      <w:adjustRightInd w:val="0"/>
      <w:snapToGrid w:val="0"/>
      <w:spacing w:line="320" w:lineRule="exact"/>
      <w:ind w:firstLine="0" w:firstLineChars="0"/>
      <w:jc w:val="center"/>
    </w:pPr>
    <w:rPr>
      <w:sz w:val="22"/>
    </w:rPr>
  </w:style>
  <w:style w:type="paragraph" w:customStyle="1" w:styleId="29">
    <w:name w:val="表格文字"/>
    <w:basedOn w:val="7"/>
    <w:next w:val="1"/>
    <w:qFormat/>
    <w:uiPriority w:val="11"/>
    <w:pPr>
      <w:adjustRightInd w:val="0"/>
      <w:spacing w:line="360" w:lineRule="atLeast"/>
      <w:jc w:val="center"/>
      <w:textAlignment w:val="baseline"/>
    </w:pPr>
    <w:rPr>
      <w:kern w:val="0"/>
      <w:szCs w:val="20"/>
    </w:rPr>
  </w:style>
  <w:style w:type="paragraph" w:customStyle="1" w:styleId="30">
    <w:name w:val="Table Paragraph"/>
    <w:basedOn w:val="1"/>
    <w:qFormat/>
    <w:uiPriority w:val="1"/>
    <w:pPr>
      <w:autoSpaceDE w:val="0"/>
      <w:autoSpaceDN w:val="0"/>
      <w:jc w:val="left"/>
    </w:pPr>
    <w:rPr>
      <w:rFonts w:ascii="方正仿宋_GBK" w:hAnsi="方正仿宋_GBK" w:eastAsia="方正仿宋_GBK" w:cs="方正仿宋_GBK"/>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5.jpeg"/><Relationship Id="rId25" Type="http://schemas.openxmlformats.org/officeDocument/2006/relationships/image" Target="media/image14.emf"/><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18259</Words>
  <Characters>19202</Characters>
  <Lines>0</Lines>
  <Paragraphs>0</Paragraphs>
  <TotalTime>2</TotalTime>
  <ScaleCrop>false</ScaleCrop>
  <LinksUpToDate>false</LinksUpToDate>
  <CharactersWithSpaces>19558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2025-10-20T06:57:00Z</dcterms:created>
  <dc:creator>153****3635</dc:creator>
  <cp:lastModifiedBy>153****3635</cp:lastModifiedBy>
  <dcterms:modified xsi:type="dcterms:W3CDTF">2025-11-03T06:54:38Z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576BDF1A19EF4F059502B3EAC9001F89_11</vt:lpwstr>
  </property>
  <property fmtid="{D5CDD505-2E9C-101B-9397-08002B2CF9AE}" pid="4" name="KSOTemplateDocerSaveRecord">
    <vt:lpwstr>eyJoZGlkIjoiNDJlZGQ3NmFiOTcyMGU4MmZlMjk5ZTNkYzc4Zjc3N2QiLCJ1c2VySWQiOiIxNDM5MzAxNTU3In0=</vt:lpwstr>
  </property>
</Properties>
</file>